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6FE9" w14:textId="11E8B6D2" w:rsidR="008B4684" w:rsidRPr="008F7505" w:rsidRDefault="0054145A" w:rsidP="004F62F6">
      <w:pPr>
        <w:pStyle w:val="Heading1"/>
      </w:pPr>
      <w:r w:rsidRPr="008F7505">
        <w:t>Exit Survey Guide</w:t>
      </w:r>
      <w:r w:rsidR="004F62F6" w:rsidRPr="008F7505">
        <w:t xml:space="preserve"> </w:t>
      </w:r>
      <w:r w:rsidR="0020649A" w:rsidRPr="008F7505">
        <w:t>Executive Briefing</w:t>
      </w:r>
    </w:p>
    <w:p w14:paraId="6D835752" w14:textId="31B2A4C7" w:rsidR="00150238" w:rsidRPr="008F7505" w:rsidRDefault="007152EF" w:rsidP="004F62F6">
      <w:pPr>
        <w:pStyle w:val="Heading3"/>
        <w:rPr>
          <w:rFonts w:eastAsia="Calibri"/>
        </w:rPr>
      </w:pPr>
      <w:r w:rsidRPr="008F7505">
        <w:rPr>
          <w:rFonts w:eastAsia="Calibri"/>
        </w:rPr>
        <w:t xml:space="preserve">Summary </w:t>
      </w:r>
    </w:p>
    <w:p w14:paraId="7D02312E" w14:textId="240E49DB" w:rsidR="007152EF" w:rsidRPr="008F7505" w:rsidRDefault="00440879" w:rsidP="007152EF">
      <w:pPr>
        <w:rPr>
          <w:rFonts w:cs="Arial"/>
          <w:szCs w:val="20"/>
          <w:lang w:val="en-CA"/>
        </w:rPr>
      </w:pPr>
      <w:r w:rsidRPr="008F7505">
        <w:rPr>
          <w:rFonts w:eastAsia="Calibri" w:cs="Arial"/>
          <w:szCs w:val="20"/>
        </w:rPr>
        <w:t xml:space="preserve">McLean &amp; Company’s </w:t>
      </w:r>
      <w:r w:rsidR="00004D5B" w:rsidRPr="008F7505">
        <w:rPr>
          <w:rFonts w:eastAsia="Calibri" w:cs="Arial"/>
          <w:szCs w:val="20"/>
        </w:rPr>
        <w:t>e</w:t>
      </w:r>
      <w:r w:rsidRPr="008F7505">
        <w:rPr>
          <w:rFonts w:eastAsia="Calibri" w:cs="Arial"/>
          <w:szCs w:val="20"/>
        </w:rPr>
        <w:t xml:space="preserve">xit </w:t>
      </w:r>
      <w:r w:rsidR="008F22C4" w:rsidRPr="008F7505">
        <w:rPr>
          <w:rFonts w:eastAsia="Calibri" w:cs="Arial"/>
          <w:szCs w:val="20"/>
        </w:rPr>
        <w:t>s</w:t>
      </w:r>
      <w:r w:rsidRPr="008F7505">
        <w:rPr>
          <w:rFonts w:eastAsia="Calibri" w:cs="Arial"/>
          <w:szCs w:val="20"/>
        </w:rPr>
        <w:t>urvey data offers insight into the top drivers of turnover at your organization and provides departing employees</w:t>
      </w:r>
      <w:r w:rsidR="00EE0122">
        <w:rPr>
          <w:rFonts w:eastAsia="Calibri" w:cs="Arial"/>
          <w:szCs w:val="20"/>
        </w:rPr>
        <w:t xml:space="preserve"> with</w:t>
      </w:r>
      <w:r w:rsidRPr="008F7505">
        <w:rPr>
          <w:rFonts w:eastAsia="Calibri" w:cs="Arial"/>
          <w:szCs w:val="20"/>
        </w:rPr>
        <w:t xml:space="preserve"> the opportunity to provide feedback on factors that affect employee engagement and retention. ​</w:t>
      </w:r>
    </w:p>
    <w:p w14:paraId="367DAAAC" w14:textId="3C049E29" w:rsidR="007E7F4E" w:rsidRPr="008F7505" w:rsidRDefault="00801B44" w:rsidP="004F62F6">
      <w:pPr>
        <w:pStyle w:val="Heading3"/>
        <w:rPr>
          <w:sz w:val="22"/>
          <w:szCs w:val="22"/>
        </w:rPr>
      </w:pPr>
      <w:r w:rsidRPr="008F7505">
        <w:t>Our Recommendation</w:t>
      </w:r>
      <w:r w:rsidR="007E7F4E" w:rsidRPr="008F7505">
        <w:t xml:space="preserve"> </w:t>
      </w:r>
    </w:p>
    <w:p w14:paraId="54C52FD6" w14:textId="7C109032" w:rsidR="007E7F4E" w:rsidRPr="008F7505" w:rsidRDefault="00E97EA7" w:rsidP="004F62F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F7505">
        <w:rPr>
          <w:rFonts w:ascii="Arial" w:hAnsi="Arial" w:cs="Arial"/>
          <w:sz w:val="20"/>
          <w:szCs w:val="20"/>
        </w:rPr>
        <w:t>Tap into the perspective of departing employees to identify overall trends behind departure.</w:t>
      </w:r>
    </w:p>
    <w:p w14:paraId="335F3621" w14:textId="1B85ECCC" w:rsidR="00E97EA7" w:rsidRPr="008F7505" w:rsidRDefault="00E97EA7" w:rsidP="004F62F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F7505">
        <w:rPr>
          <w:rFonts w:ascii="Arial" w:hAnsi="Arial" w:cs="Arial"/>
          <w:sz w:val="20"/>
          <w:szCs w:val="20"/>
        </w:rPr>
        <w:t>Focus on the insights the data reveals to make organizational improvements and resolve issues that cause premature departure.</w:t>
      </w:r>
    </w:p>
    <w:p w14:paraId="7BD9FF2F" w14:textId="7540377A" w:rsidR="00E97EA7" w:rsidRPr="008F7505" w:rsidRDefault="00E97EA7" w:rsidP="00E97EA7">
      <w:pPr>
        <w:pStyle w:val="ListParagraph"/>
        <w:numPr>
          <w:ilvl w:val="0"/>
          <w:numId w:val="8"/>
        </w:numPr>
        <w:rPr>
          <w:rFonts w:eastAsia="Calibri" w:cs="Arial"/>
          <w:szCs w:val="20"/>
        </w:rPr>
      </w:pPr>
      <w:r w:rsidRPr="008F7505">
        <w:rPr>
          <w:rFonts w:eastAsia="Calibri" w:cs="Arial"/>
          <w:szCs w:val="20"/>
        </w:rPr>
        <w:t>Source qualitative data to understand the context behind the results and action plan with greater impact.</w:t>
      </w:r>
    </w:p>
    <w:p w14:paraId="44026C07" w14:textId="62866941" w:rsidR="00150238" w:rsidRPr="008F7505" w:rsidRDefault="00150238" w:rsidP="004F62F6">
      <w:pPr>
        <w:pStyle w:val="Heading3"/>
      </w:pPr>
      <w:r w:rsidRPr="008F7505">
        <w:t xml:space="preserve">Client Challenge </w:t>
      </w:r>
    </w:p>
    <w:p w14:paraId="5119681E" w14:textId="7CC17FA6" w:rsidR="004D5397" w:rsidRPr="00EE0122" w:rsidRDefault="004D5397" w:rsidP="00150238">
      <w:pPr>
        <w:numPr>
          <w:ilvl w:val="0"/>
          <w:numId w:val="7"/>
        </w:numPr>
        <w:rPr>
          <w:rFonts w:eastAsia="Calibri" w:cs="Arial"/>
          <w:szCs w:val="20"/>
        </w:rPr>
      </w:pPr>
      <w:r w:rsidRPr="00EE0122">
        <w:rPr>
          <w:rFonts w:eastAsia="Calibri" w:cs="Arial"/>
          <w:szCs w:val="20"/>
        </w:rPr>
        <w:t xml:space="preserve">Exit surveys often have low response rates due </w:t>
      </w:r>
      <w:r w:rsidR="00D20532">
        <w:rPr>
          <w:rFonts w:eastAsia="Calibri" w:cs="Arial"/>
          <w:szCs w:val="20"/>
        </w:rPr>
        <w:t xml:space="preserve">to </w:t>
      </w:r>
      <w:r w:rsidRPr="00EE0122">
        <w:rPr>
          <w:rFonts w:eastAsia="Calibri" w:cs="Arial"/>
          <w:szCs w:val="20"/>
        </w:rPr>
        <w:t>a failure to send survey</w:t>
      </w:r>
      <w:r w:rsidR="00443138" w:rsidRPr="00EE0122">
        <w:rPr>
          <w:rFonts w:eastAsia="Calibri" w:cs="Arial"/>
          <w:szCs w:val="20"/>
        </w:rPr>
        <w:t>s</w:t>
      </w:r>
      <w:r w:rsidRPr="00EE0122">
        <w:rPr>
          <w:rFonts w:eastAsia="Calibri" w:cs="Arial"/>
          <w:szCs w:val="20"/>
        </w:rPr>
        <w:t xml:space="preserve"> as soon as departing employee</w:t>
      </w:r>
      <w:r w:rsidR="00E97EA7" w:rsidRPr="00EE0122">
        <w:rPr>
          <w:rFonts w:eastAsia="Calibri" w:cs="Arial"/>
          <w:szCs w:val="20"/>
        </w:rPr>
        <w:t>s</w:t>
      </w:r>
      <w:r w:rsidRPr="00EE0122">
        <w:rPr>
          <w:rFonts w:eastAsia="Calibri" w:cs="Arial"/>
          <w:szCs w:val="20"/>
        </w:rPr>
        <w:t xml:space="preserve"> submit their resignation</w:t>
      </w:r>
      <w:r w:rsidR="00E97EA7" w:rsidRPr="00EE0122">
        <w:rPr>
          <w:rFonts w:eastAsia="Calibri" w:cs="Arial"/>
          <w:szCs w:val="20"/>
        </w:rPr>
        <w:t>s</w:t>
      </w:r>
      <w:r w:rsidRPr="00EE0122">
        <w:rPr>
          <w:rFonts w:eastAsia="Calibri" w:cs="Arial"/>
          <w:szCs w:val="20"/>
        </w:rPr>
        <w:t xml:space="preserve"> and employee beliefs that feedback will not be acted upon.</w:t>
      </w:r>
    </w:p>
    <w:p w14:paraId="270587AE" w14:textId="36B6746A" w:rsidR="00150238" w:rsidRPr="00EE0122" w:rsidRDefault="00443138" w:rsidP="00150238">
      <w:pPr>
        <w:numPr>
          <w:ilvl w:val="0"/>
          <w:numId w:val="7"/>
        </w:numPr>
        <w:rPr>
          <w:rFonts w:eastAsia="Calibri" w:cs="Arial"/>
          <w:szCs w:val="20"/>
        </w:rPr>
      </w:pPr>
      <w:r w:rsidRPr="00EE0122">
        <w:rPr>
          <w:rFonts w:eastAsia="Calibri" w:cs="Arial"/>
          <w:szCs w:val="20"/>
        </w:rPr>
        <w:t>Actions may focus on</w:t>
      </w:r>
      <w:r w:rsidR="004D5397" w:rsidRPr="00EE0122">
        <w:rPr>
          <w:rFonts w:eastAsia="Calibri" w:cs="Arial"/>
          <w:szCs w:val="20"/>
        </w:rPr>
        <w:t xml:space="preserve"> addressing immediate issues rather than </w:t>
      </w:r>
      <w:r w:rsidRPr="00EE0122">
        <w:rPr>
          <w:rFonts w:eastAsia="Calibri" w:cs="Arial"/>
          <w:szCs w:val="20"/>
        </w:rPr>
        <w:t xml:space="preserve">following up with respondents to clarify feedback and conducting </w:t>
      </w:r>
      <w:r w:rsidR="004D5397" w:rsidRPr="00EE0122">
        <w:rPr>
          <w:rFonts w:eastAsia="Calibri" w:cs="Arial"/>
          <w:szCs w:val="20"/>
        </w:rPr>
        <w:t xml:space="preserve">a full analysis of the results. </w:t>
      </w:r>
    </w:p>
    <w:p w14:paraId="5BB8DB6A" w14:textId="6350B673" w:rsidR="008F22C4" w:rsidRPr="00EE0122" w:rsidRDefault="008F22C4" w:rsidP="008F22C4">
      <w:pPr>
        <w:numPr>
          <w:ilvl w:val="0"/>
          <w:numId w:val="7"/>
        </w:numPr>
        <w:rPr>
          <w:rFonts w:eastAsia="Calibri" w:cs="Arial"/>
          <w:szCs w:val="20"/>
        </w:rPr>
      </w:pPr>
      <w:r w:rsidRPr="00EE0122">
        <w:rPr>
          <w:rFonts w:eastAsia="Calibri" w:cs="Arial"/>
          <w:szCs w:val="20"/>
        </w:rPr>
        <w:t xml:space="preserve">Exit survey data analysis is often done in a silo, without examining other employee survey data such as new hire or engagement </w:t>
      </w:r>
      <w:r w:rsidR="00D20532">
        <w:rPr>
          <w:rFonts w:eastAsia="Calibri" w:cs="Arial"/>
          <w:szCs w:val="20"/>
        </w:rPr>
        <w:t xml:space="preserve">surveys </w:t>
      </w:r>
      <w:r w:rsidRPr="00EE0122">
        <w:rPr>
          <w:rFonts w:eastAsia="Calibri" w:cs="Arial"/>
          <w:szCs w:val="20"/>
        </w:rPr>
        <w:t>for consistent themes or insights.</w:t>
      </w:r>
    </w:p>
    <w:p w14:paraId="1A32E09A" w14:textId="50BB7A59" w:rsidR="00150238" w:rsidRPr="008F7505" w:rsidRDefault="00150238" w:rsidP="004F62F6">
      <w:pPr>
        <w:pStyle w:val="Heading3"/>
        <w:rPr>
          <w:szCs w:val="20"/>
        </w:rPr>
      </w:pPr>
      <w:r w:rsidRPr="008F7505">
        <w:t>Critical Insight</w:t>
      </w:r>
      <w:r w:rsidRPr="008F7505">
        <w:rPr>
          <w:szCs w:val="20"/>
        </w:rPr>
        <w:t xml:space="preserve"> </w:t>
      </w:r>
    </w:p>
    <w:p w14:paraId="4292E182" w14:textId="1BD0226A" w:rsidR="00A1766A" w:rsidRPr="00EE0122" w:rsidRDefault="00A1766A" w:rsidP="00A1766A">
      <w:pPr>
        <w:pStyle w:val="ListParagraph"/>
        <w:numPr>
          <w:ilvl w:val="0"/>
          <w:numId w:val="8"/>
        </w:numPr>
        <w:rPr>
          <w:rFonts w:eastAsia="Calibri" w:cs="Arial"/>
          <w:szCs w:val="20"/>
        </w:rPr>
      </w:pPr>
      <w:r w:rsidRPr="00EE0122">
        <w:rPr>
          <w:rFonts w:eastAsia="Calibri" w:cs="Arial"/>
          <w:szCs w:val="20"/>
        </w:rPr>
        <w:t xml:space="preserve">Demonstrate </w:t>
      </w:r>
      <w:r w:rsidR="00004D5B" w:rsidRPr="00EE0122">
        <w:rPr>
          <w:rFonts w:eastAsia="Calibri" w:cs="Arial"/>
          <w:szCs w:val="20"/>
        </w:rPr>
        <w:t xml:space="preserve">that </w:t>
      </w:r>
      <w:r w:rsidRPr="00EE0122">
        <w:rPr>
          <w:rFonts w:eastAsia="Calibri" w:cs="Arial"/>
          <w:szCs w:val="20"/>
        </w:rPr>
        <w:t xml:space="preserve">the organization values and leverages feedback from departing employees to improve the employee experience. </w:t>
      </w:r>
    </w:p>
    <w:p w14:paraId="0796704F" w14:textId="392874B2" w:rsidR="00150238" w:rsidRDefault="00150238" w:rsidP="00A1766A">
      <w:pPr>
        <w:ind w:left="360"/>
        <w:rPr>
          <w:rFonts w:eastAsia="Calibri" w:cs="Arial"/>
          <w:color w:val="5B9BD5" w:themeColor="accent1"/>
          <w:sz w:val="22"/>
          <w:szCs w:val="22"/>
        </w:rPr>
      </w:pPr>
    </w:p>
    <w:p w14:paraId="4AEA715F" w14:textId="04BE76DF" w:rsidR="00A56AF1" w:rsidRDefault="006D5F49" w:rsidP="00A56AF1">
      <w:pPr>
        <w:rPr>
          <w:rFonts w:eastAsia="Calibri" w:cs="Arial"/>
          <w:color w:val="5B9BD5" w:themeColor="accent1"/>
          <w:sz w:val="22"/>
          <w:szCs w:val="22"/>
        </w:rPr>
      </w:pPr>
      <w:r w:rsidRPr="005F45A7">
        <w:rPr>
          <w:rFonts w:eastAsia="Calibri" w:cs="Arial"/>
          <w:noProof/>
          <w:color w:val="5B9BD5" w:themeColor="accen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BDEB7A" wp14:editId="4B343333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486525" cy="30919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0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53B48" w14:textId="511CF9EC" w:rsidR="00A56AF1" w:rsidRDefault="00A56AF1" w:rsidP="00A56AF1">
      <w:pPr>
        <w:rPr>
          <w:rFonts w:eastAsia="Calibri" w:cs="Arial"/>
          <w:color w:val="5B9BD5" w:themeColor="accent1"/>
          <w:sz w:val="22"/>
          <w:szCs w:val="22"/>
        </w:rPr>
      </w:pPr>
    </w:p>
    <w:p w14:paraId="5FACAD3F" w14:textId="219C503A" w:rsidR="00965FEA" w:rsidRPr="0061655C" w:rsidRDefault="00965FEA" w:rsidP="00A56AF1">
      <w:pPr>
        <w:rPr>
          <w:rFonts w:eastAsia="Calibri" w:cs="Arial"/>
          <w:color w:val="5B9BD5" w:themeColor="accent1"/>
          <w:sz w:val="22"/>
          <w:szCs w:val="22"/>
        </w:rPr>
      </w:pPr>
    </w:p>
    <w:p w14:paraId="4B6566FB" w14:textId="2F08A3F8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8F7505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79F7B802" w:rsidR="007E7F4E" w:rsidRPr="008F7505" w:rsidRDefault="007E7F4E" w:rsidP="00421D70">
            <w:pPr>
              <w:rPr>
                <w:rFonts w:cs="Arial"/>
                <w:szCs w:val="20"/>
              </w:rPr>
            </w:pPr>
            <w:r w:rsidRPr="008F7505">
              <w:rPr>
                <w:rFonts w:cs="Arial"/>
                <w:szCs w:val="20"/>
              </w:rPr>
              <w:t xml:space="preserve">1. </w:t>
            </w:r>
            <w:r w:rsidR="00B15E32" w:rsidRPr="008F7505">
              <w:rPr>
                <w:rFonts w:cs="Arial"/>
                <w:szCs w:val="20"/>
              </w:rPr>
              <w:t>Determine the approach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7E5F" w14:textId="77777777" w:rsidR="001928EA" w:rsidRPr="008F7505" w:rsidRDefault="001928EA" w:rsidP="001928EA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szCs w:val="20"/>
                <w:shd w:val="clear" w:color="auto" w:fill="FFFFFF"/>
                <w:lang w:val="en-CA"/>
              </w:rPr>
              <w:t>Establish the purpose and goals for the exit survey.</w:t>
            </w:r>
          </w:p>
          <w:p w14:paraId="019DBDA2" w14:textId="77777777" w:rsidR="001928EA" w:rsidRPr="008F7505" w:rsidRDefault="001928EA" w:rsidP="001928EA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szCs w:val="20"/>
                <w:shd w:val="clear" w:color="auto" w:fill="FFFFFF"/>
                <w:lang w:val="en-CA"/>
              </w:rPr>
              <w:t>Identify stakeholder roles and accountabilities.</w:t>
            </w:r>
          </w:p>
          <w:p w14:paraId="1B80AF65" w14:textId="77777777" w:rsidR="001928EA" w:rsidRPr="008F7505" w:rsidRDefault="001928EA" w:rsidP="001928EA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szCs w:val="20"/>
                <w:shd w:val="clear" w:color="auto" w:fill="FFFFFF"/>
                <w:lang w:val="en-CA"/>
              </w:rPr>
              <w:t>Review the employee survey landscape.</w:t>
            </w:r>
          </w:p>
          <w:p w14:paraId="32D56A5E" w14:textId="77777777" w:rsidR="001928EA" w:rsidRPr="008F7505" w:rsidRDefault="001928EA" w:rsidP="001928EA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szCs w:val="20"/>
                <w:shd w:val="clear" w:color="auto" w:fill="FFFFFF"/>
                <w:lang w:val="en-CA"/>
              </w:rPr>
              <w:t>Identify where exit data offers insight into key HR programs.</w:t>
            </w:r>
          </w:p>
          <w:p w14:paraId="122EECDB" w14:textId="63CB9C9E" w:rsidR="007E7F4E" w:rsidRPr="008F7505" w:rsidRDefault="001928EA" w:rsidP="001928EA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szCs w:val="20"/>
                <w:shd w:val="clear" w:color="auto" w:fill="FFFFFF"/>
                <w:lang w:val="en-CA"/>
              </w:rPr>
              <w:t>Establish timing for exit survey activities.</w:t>
            </w:r>
          </w:p>
          <w:p w14:paraId="2D413A71" w14:textId="77777777" w:rsidR="007E7F4E" w:rsidRPr="008F7505" w:rsidRDefault="007E7F4E" w:rsidP="00DF4910">
            <w:pPr>
              <w:spacing w:before="24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6BB94094" w14:textId="77777777" w:rsidR="00101FB3" w:rsidRPr="008F7505" w:rsidRDefault="00101FB3" w:rsidP="00101FB3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Exit Survey Program Workbook</w:t>
            </w:r>
          </w:p>
          <w:p w14:paraId="0A1AFD94" w14:textId="3CEF528B" w:rsidR="007E7F4E" w:rsidRPr="008F7505" w:rsidRDefault="00101FB3" w:rsidP="00DF4910">
            <w:pPr>
              <w:numPr>
                <w:ilvl w:val="0"/>
                <w:numId w:val="11"/>
              </w:numPr>
              <w:spacing w:after="240"/>
              <w:rPr>
                <w:rFonts w:cs="Arial"/>
                <w:szCs w:val="20"/>
              </w:rPr>
            </w:pPr>
            <w:r w:rsidRPr="008F7505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HR Metrics Library </w:t>
            </w:r>
          </w:p>
        </w:tc>
      </w:tr>
      <w:tr w:rsidR="007E7F4E" w:rsidRPr="008F7505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2DB85F71" w:rsidR="007E7F4E" w:rsidRPr="008F7505" w:rsidRDefault="007E7F4E" w:rsidP="00421D70">
            <w:pPr>
              <w:rPr>
                <w:rFonts w:cs="Arial"/>
                <w:szCs w:val="20"/>
              </w:rPr>
            </w:pPr>
            <w:r w:rsidRPr="008F7505">
              <w:rPr>
                <w:rFonts w:cs="Arial"/>
                <w:szCs w:val="20"/>
              </w:rPr>
              <w:t xml:space="preserve">2. </w:t>
            </w:r>
            <w:r w:rsidR="00B05DCA" w:rsidRPr="008F7505">
              <w:rPr>
                <w:rFonts w:cs="Arial"/>
                <w:szCs w:val="20"/>
              </w:rPr>
              <w:t>Prepare to implement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44E0" w14:textId="7A6A4865" w:rsidR="007E7F4E" w:rsidRPr="008F7505" w:rsidRDefault="007E7F4E" w:rsidP="00421D7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Gain an understanding of emotional responses to change.</w:t>
            </w:r>
          </w:p>
          <w:p w14:paraId="452D243C" w14:textId="6AAFABBC" w:rsidR="007E7F4E" w:rsidRPr="008F7505" w:rsidRDefault="007E7F4E" w:rsidP="00421D7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Establish communication principles.</w:t>
            </w:r>
          </w:p>
          <w:p w14:paraId="6FD3E9FC" w14:textId="705C3458" w:rsidR="007E7F4E" w:rsidRPr="008F7505" w:rsidRDefault="007E7F4E" w:rsidP="00421D7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Create key messages and branding for the change.</w:t>
            </w:r>
          </w:p>
          <w:p w14:paraId="2FC460BC" w14:textId="6B8B843B" w:rsidR="007E7F4E" w:rsidRPr="008F7505" w:rsidRDefault="007E7F4E" w:rsidP="00421D70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Gain advice for announcing the upcoming change to the organization.</w:t>
            </w:r>
          </w:p>
          <w:p w14:paraId="1BBFCD43" w14:textId="77777777" w:rsidR="007E7F4E" w:rsidRPr="008F7505" w:rsidRDefault="007E7F4E" w:rsidP="00DF4910">
            <w:pPr>
              <w:spacing w:before="240"/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B461376" w14:textId="77777777" w:rsidR="0088049A" w:rsidRPr="008F7505" w:rsidRDefault="0088049A" w:rsidP="0088049A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lang w:val="en-CA"/>
              </w:rPr>
              <w:t>Exit Survey Scoping Checklist</w:t>
            </w:r>
          </w:p>
          <w:p w14:paraId="3A654E24" w14:textId="77777777" w:rsidR="0088049A" w:rsidRPr="008F7505" w:rsidRDefault="0088049A" w:rsidP="0088049A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lang w:val="en-CA"/>
              </w:rPr>
              <w:t>Guide to Navigating the McLean Connect Dashboard – Exit Survey</w:t>
            </w:r>
          </w:p>
          <w:p w14:paraId="28324953" w14:textId="5B737E5D" w:rsidR="007E7F4E" w:rsidRPr="008F7505" w:rsidRDefault="0088049A" w:rsidP="00DF4910">
            <w:pPr>
              <w:numPr>
                <w:ilvl w:val="0"/>
                <w:numId w:val="13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lang w:val="en-CA"/>
              </w:rPr>
              <w:t>Guide to Interpreting Your Exit Survey Report</w:t>
            </w:r>
          </w:p>
        </w:tc>
      </w:tr>
      <w:tr w:rsidR="007E7F4E" w:rsidRPr="008F7505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1E335DBB" w:rsidR="007E7F4E" w:rsidRPr="008F7505" w:rsidRDefault="007E7F4E" w:rsidP="00421D70">
            <w:pPr>
              <w:rPr>
                <w:rFonts w:cs="Arial"/>
                <w:szCs w:val="20"/>
              </w:rPr>
            </w:pPr>
            <w:r w:rsidRPr="008F7505">
              <w:rPr>
                <w:rFonts w:cs="Arial"/>
                <w:szCs w:val="20"/>
              </w:rPr>
              <w:t xml:space="preserve">3. </w:t>
            </w:r>
            <w:r w:rsidR="00E40053" w:rsidRPr="008F7505">
              <w:rPr>
                <w:rFonts w:cs="Arial"/>
                <w:szCs w:val="20"/>
              </w:rPr>
              <w:t>Analyze results and action plan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70CC" w14:textId="77777777" w:rsidR="00800EEB" w:rsidRPr="008F7505" w:rsidRDefault="00800EEB" w:rsidP="00800EE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Analyze survey data and prepare for action.</w:t>
            </w:r>
          </w:p>
          <w:p w14:paraId="6CAD0BFC" w14:textId="77777777" w:rsidR="00800EEB" w:rsidRPr="008F7505" w:rsidRDefault="00800EEB" w:rsidP="00800EE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Act on individual feedback and serious issues.</w:t>
            </w:r>
          </w:p>
          <w:p w14:paraId="45B1C67F" w14:textId="77777777" w:rsidR="00800EEB" w:rsidRPr="008F7505" w:rsidRDefault="00800EEB" w:rsidP="00800EE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Meet with HR program owners to review data insights and identify action plan initiatives.</w:t>
            </w:r>
          </w:p>
          <w:p w14:paraId="760B7BDA" w14:textId="6231C407" w:rsidR="007E7F4E" w:rsidRPr="008F7505" w:rsidRDefault="00800EEB" w:rsidP="00800EE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szCs w:val="20"/>
                <w:lang w:val="en-CA"/>
              </w:rPr>
              <w:t>Communicate action initiatives, establish timelines, and track progress.</w:t>
            </w:r>
          </w:p>
          <w:p w14:paraId="319B4A5D" w14:textId="77777777" w:rsidR="007E7F4E" w:rsidRPr="008F7505" w:rsidRDefault="007E7F4E" w:rsidP="00B8108D">
            <w:pPr>
              <w:spacing w:before="240"/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6A53D12" w14:textId="77777777" w:rsidR="00EB76A3" w:rsidRPr="008F7505" w:rsidRDefault="00EB76A3" w:rsidP="00EB76A3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lang w:val="en-CA"/>
              </w:rPr>
              <w:t>Exit Interview Template</w:t>
            </w:r>
          </w:p>
          <w:p w14:paraId="3BCC303B" w14:textId="2C249529" w:rsidR="007E7F4E" w:rsidRPr="008F7505" w:rsidRDefault="00EB76A3" w:rsidP="00B8108D">
            <w:pPr>
              <w:numPr>
                <w:ilvl w:val="0"/>
                <w:numId w:val="15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8F7505">
              <w:rPr>
                <w:rFonts w:cs="Arial"/>
                <w:i/>
                <w:iCs/>
                <w:szCs w:val="20"/>
                <w:lang w:val="en-CA"/>
              </w:rPr>
              <w:t>Exit Survey Program Workbook</w:t>
            </w:r>
          </w:p>
        </w:tc>
      </w:tr>
    </w:tbl>
    <w:p w14:paraId="31F3FE8A" w14:textId="26638471" w:rsidR="00B543DC" w:rsidRDefault="00B543DC" w:rsidP="00BA7D52">
      <w:pPr>
        <w:jc w:val="center"/>
      </w:pPr>
    </w:p>
    <w:p w14:paraId="52DCA570" w14:textId="77777777" w:rsidR="00B8108D" w:rsidRDefault="00B8108D" w:rsidP="00BA7D52">
      <w:pPr>
        <w:jc w:val="center"/>
      </w:pPr>
    </w:p>
    <w:p w14:paraId="052638F3" w14:textId="77777777" w:rsidR="00B8108D" w:rsidRDefault="00B8108D" w:rsidP="00BA7D52">
      <w:pPr>
        <w:jc w:val="center"/>
      </w:pPr>
    </w:p>
    <w:p w14:paraId="51D5375B" w14:textId="2E156090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D7C9" w14:textId="77777777" w:rsidR="000926E3" w:rsidRDefault="000926E3">
      <w:r>
        <w:separator/>
      </w:r>
    </w:p>
  </w:endnote>
  <w:endnote w:type="continuationSeparator" w:id="0">
    <w:p w14:paraId="4F69EDF0" w14:textId="77777777" w:rsidR="000926E3" w:rsidRDefault="000926E3">
      <w:r>
        <w:continuationSeparator/>
      </w:r>
    </w:p>
  </w:endnote>
  <w:endnote w:type="continuationNotice" w:id="1">
    <w:p w14:paraId="1A78714A" w14:textId="77777777" w:rsidR="000926E3" w:rsidRDefault="00092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173F" w14:textId="77777777" w:rsidR="000926E3" w:rsidRDefault="000926E3">
      <w:r>
        <w:separator/>
      </w:r>
    </w:p>
  </w:footnote>
  <w:footnote w:type="continuationSeparator" w:id="0">
    <w:p w14:paraId="57533A8E" w14:textId="77777777" w:rsidR="000926E3" w:rsidRDefault="000926E3">
      <w:r>
        <w:continuationSeparator/>
      </w:r>
    </w:p>
  </w:footnote>
  <w:footnote w:type="continuationNotice" w:id="1">
    <w:p w14:paraId="50A1E21D" w14:textId="77777777" w:rsidR="000926E3" w:rsidRDefault="000926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8240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275DA5"/>
    <w:multiLevelType w:val="hybridMultilevel"/>
    <w:tmpl w:val="A784F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4"/>
  </w:num>
  <w:num w:numId="6">
    <w:abstractNumId w:val="22"/>
  </w:num>
  <w:num w:numId="7">
    <w:abstractNumId w:val="12"/>
  </w:num>
  <w:num w:numId="8">
    <w:abstractNumId w:val="20"/>
  </w:num>
  <w:num w:numId="9">
    <w:abstractNumId w:val="18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21"/>
  </w:num>
  <w:num w:numId="19">
    <w:abstractNumId w:val="6"/>
  </w:num>
  <w:num w:numId="20">
    <w:abstractNumId w:val="14"/>
  </w:num>
  <w:num w:numId="21">
    <w:abstractNumId w:val="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4D5B"/>
    <w:rsid w:val="00026ACB"/>
    <w:rsid w:val="00033B26"/>
    <w:rsid w:val="00042DA2"/>
    <w:rsid w:val="00077963"/>
    <w:rsid w:val="000926E3"/>
    <w:rsid w:val="000D63E7"/>
    <w:rsid w:val="00101FB3"/>
    <w:rsid w:val="00134035"/>
    <w:rsid w:val="00150238"/>
    <w:rsid w:val="00186D07"/>
    <w:rsid w:val="001928EA"/>
    <w:rsid w:val="001F431F"/>
    <w:rsid w:val="0020649A"/>
    <w:rsid w:val="0021559C"/>
    <w:rsid w:val="00234116"/>
    <w:rsid w:val="002344C3"/>
    <w:rsid w:val="00253948"/>
    <w:rsid w:val="002C17B1"/>
    <w:rsid w:val="002C6A38"/>
    <w:rsid w:val="002D034A"/>
    <w:rsid w:val="003018D3"/>
    <w:rsid w:val="00343D15"/>
    <w:rsid w:val="00353FEE"/>
    <w:rsid w:val="00364660"/>
    <w:rsid w:val="004069F4"/>
    <w:rsid w:val="00440879"/>
    <w:rsid w:val="00443138"/>
    <w:rsid w:val="00455B7B"/>
    <w:rsid w:val="00486B78"/>
    <w:rsid w:val="00492F5D"/>
    <w:rsid w:val="004D32EB"/>
    <w:rsid w:val="004D5397"/>
    <w:rsid w:val="004F57CC"/>
    <w:rsid w:val="004F62F6"/>
    <w:rsid w:val="00514649"/>
    <w:rsid w:val="005328F4"/>
    <w:rsid w:val="0054145A"/>
    <w:rsid w:val="005C7852"/>
    <w:rsid w:val="005E0C16"/>
    <w:rsid w:val="005F45A7"/>
    <w:rsid w:val="0061655C"/>
    <w:rsid w:val="006B0CA8"/>
    <w:rsid w:val="006D5F49"/>
    <w:rsid w:val="00701BB0"/>
    <w:rsid w:val="007152EF"/>
    <w:rsid w:val="00715498"/>
    <w:rsid w:val="007736E3"/>
    <w:rsid w:val="00775EA1"/>
    <w:rsid w:val="007E7F4E"/>
    <w:rsid w:val="00800EEB"/>
    <w:rsid w:val="00801B44"/>
    <w:rsid w:val="00803CE4"/>
    <w:rsid w:val="0081572D"/>
    <w:rsid w:val="00830085"/>
    <w:rsid w:val="0088049A"/>
    <w:rsid w:val="008B4684"/>
    <w:rsid w:val="008B6398"/>
    <w:rsid w:val="008C5E54"/>
    <w:rsid w:val="008E4AA5"/>
    <w:rsid w:val="008F22C4"/>
    <w:rsid w:val="008F5841"/>
    <w:rsid w:val="008F7505"/>
    <w:rsid w:val="00923F3F"/>
    <w:rsid w:val="0096410E"/>
    <w:rsid w:val="00965FEA"/>
    <w:rsid w:val="00990BBE"/>
    <w:rsid w:val="00A1766A"/>
    <w:rsid w:val="00A56AF1"/>
    <w:rsid w:val="00A761A0"/>
    <w:rsid w:val="00AC45C3"/>
    <w:rsid w:val="00B05DCA"/>
    <w:rsid w:val="00B15E32"/>
    <w:rsid w:val="00B543DC"/>
    <w:rsid w:val="00B8108D"/>
    <w:rsid w:val="00BA7D52"/>
    <w:rsid w:val="00C477D9"/>
    <w:rsid w:val="00C47B87"/>
    <w:rsid w:val="00C50C04"/>
    <w:rsid w:val="00C8415D"/>
    <w:rsid w:val="00CA08B6"/>
    <w:rsid w:val="00CA0EDC"/>
    <w:rsid w:val="00CB15B0"/>
    <w:rsid w:val="00D0516C"/>
    <w:rsid w:val="00D20532"/>
    <w:rsid w:val="00D206DA"/>
    <w:rsid w:val="00D610EB"/>
    <w:rsid w:val="00D928F5"/>
    <w:rsid w:val="00D92959"/>
    <w:rsid w:val="00D97422"/>
    <w:rsid w:val="00DB120E"/>
    <w:rsid w:val="00DF35DF"/>
    <w:rsid w:val="00DF4910"/>
    <w:rsid w:val="00E40053"/>
    <w:rsid w:val="00E97EA7"/>
    <w:rsid w:val="00EB76A3"/>
    <w:rsid w:val="00EE0122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610EB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2021-03-25T01:17:00Z</dcterms:created>
  <dcterms:modified xsi:type="dcterms:W3CDTF">2021-03-25T01:17:00Z</dcterms:modified>
</cp:coreProperties>
</file>