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6FE9" w14:textId="34515CB9" w:rsidR="008B4684" w:rsidRPr="004F62F6" w:rsidRDefault="0042512C" w:rsidP="004F62F6">
      <w:pPr>
        <w:pStyle w:val="Heading1"/>
        <w:rPr>
          <w:color w:val="000000" w:themeColor="text1"/>
        </w:rPr>
      </w:pPr>
      <w:r w:rsidRPr="00281C64">
        <w:t>Return</w:t>
      </w:r>
      <w:r w:rsidR="00281C64">
        <w:t>-</w:t>
      </w:r>
      <w:r w:rsidRPr="00281C64">
        <w:t>to</w:t>
      </w:r>
      <w:r w:rsidR="00281C64">
        <w:t>-</w:t>
      </w:r>
      <w:r w:rsidRPr="00281C64">
        <w:t>the</w:t>
      </w:r>
      <w:r w:rsidR="00281C64">
        <w:t>-</w:t>
      </w:r>
      <w:r w:rsidRPr="00281C64">
        <w:t>Workplace Playbook</w:t>
      </w:r>
      <w:r w:rsidR="004F62F6" w:rsidRPr="00281C64">
        <w:t xml:space="preserve"> </w:t>
      </w:r>
      <w:r w:rsidR="0020649A" w:rsidRPr="00150238">
        <w:t>Executive Briefing</w:t>
      </w:r>
    </w:p>
    <w:p w14:paraId="6D835752" w14:textId="31B2A4C7" w:rsidR="00150238" w:rsidRPr="007152EF" w:rsidRDefault="007152EF" w:rsidP="004F62F6">
      <w:pPr>
        <w:pStyle w:val="Heading3"/>
        <w:rPr>
          <w:rFonts w:eastAsia="Calibri"/>
        </w:rPr>
      </w:pPr>
      <w:r w:rsidRPr="007152EF">
        <w:rPr>
          <w:rFonts w:eastAsia="Calibri"/>
        </w:rPr>
        <w:t>Summary</w:t>
      </w:r>
      <w:r>
        <w:rPr>
          <w:rFonts w:eastAsia="Calibri"/>
        </w:rPr>
        <w:t xml:space="preserve"> </w:t>
      </w:r>
    </w:p>
    <w:p w14:paraId="7D02312E" w14:textId="6C288B43" w:rsidR="007152EF" w:rsidRPr="00281C64" w:rsidRDefault="0042512C" w:rsidP="007152EF">
      <w:pPr>
        <w:rPr>
          <w:rFonts w:cs="Arial"/>
          <w:sz w:val="22"/>
          <w:szCs w:val="22"/>
          <w:lang w:val="en-CA"/>
        </w:rPr>
      </w:pPr>
      <w:r w:rsidRPr="00281C64">
        <w:rPr>
          <w:rFonts w:eastAsia="Calibri" w:cs="Arial"/>
          <w:sz w:val="22"/>
          <w:szCs w:val="22"/>
        </w:rPr>
        <w:t>The onset of the pandemic dispersed employees from the workplace, some working from home, others laid-off/furloughed</w:t>
      </w:r>
      <w:r w:rsidR="00F076A6">
        <w:rPr>
          <w:rFonts w:eastAsia="Calibri" w:cs="Arial"/>
          <w:sz w:val="22"/>
          <w:szCs w:val="22"/>
        </w:rPr>
        <w:t>,</w:t>
      </w:r>
      <w:r w:rsidRPr="00281C64">
        <w:rPr>
          <w:rFonts w:eastAsia="Calibri" w:cs="Arial"/>
          <w:sz w:val="22"/>
          <w:szCs w:val="22"/>
        </w:rPr>
        <w:t xml:space="preserve"> and some brought back to the workplace only to be sent home again. However, as vaccines roll</w:t>
      </w:r>
      <w:r w:rsidR="00F076A6">
        <w:rPr>
          <w:rFonts w:eastAsia="Calibri" w:cs="Arial"/>
          <w:sz w:val="22"/>
          <w:szCs w:val="22"/>
        </w:rPr>
        <w:t xml:space="preserve"> </w:t>
      </w:r>
      <w:r w:rsidRPr="00281C64">
        <w:rPr>
          <w:rFonts w:eastAsia="Calibri" w:cs="Arial"/>
          <w:sz w:val="22"/>
          <w:szCs w:val="22"/>
        </w:rPr>
        <w:t>out and countries around the world pass the peak of the pandemic, organizations are anxious to determine when and how to bring employees back to the workplace</w:t>
      </w:r>
      <w:r w:rsidR="0061655C" w:rsidRPr="00281C64">
        <w:rPr>
          <w:rFonts w:eastAsia="Calibri" w:cs="Arial"/>
          <w:sz w:val="22"/>
          <w:szCs w:val="22"/>
        </w:rPr>
        <w:t>.</w:t>
      </w:r>
    </w:p>
    <w:p w14:paraId="367DAAAC" w14:textId="3C049E29" w:rsidR="007E7F4E" w:rsidRPr="007152EF" w:rsidRDefault="00801B44" w:rsidP="004F62F6">
      <w:pPr>
        <w:pStyle w:val="Heading3"/>
        <w:rPr>
          <w:color w:val="808080" w:themeColor="background1" w:themeShade="80"/>
          <w:sz w:val="22"/>
          <w:szCs w:val="22"/>
        </w:rPr>
      </w:pPr>
      <w:r>
        <w:t>Our Recommendation</w:t>
      </w:r>
      <w:r w:rsidR="007E7F4E">
        <w:t xml:space="preserve"> </w:t>
      </w:r>
    </w:p>
    <w:p w14:paraId="54C52FD6" w14:textId="48FBCFA2" w:rsidR="007E7F4E" w:rsidRPr="00281C64" w:rsidRDefault="00044369" w:rsidP="004F62F6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281C64">
        <w:rPr>
          <w:rFonts w:ascii="Arial" w:hAnsi="Arial" w:cs="Arial"/>
        </w:rPr>
        <w:t xml:space="preserve">Review key factors and determine how to bring employees back to the workplace, prioritizing first by work units and then </w:t>
      </w:r>
      <w:r w:rsidR="00E65534">
        <w:rPr>
          <w:rFonts w:ascii="Arial" w:hAnsi="Arial" w:cs="Arial"/>
        </w:rPr>
        <w:t xml:space="preserve">by </w:t>
      </w:r>
      <w:r w:rsidRPr="00281C64">
        <w:rPr>
          <w:rFonts w:ascii="Arial" w:hAnsi="Arial" w:cs="Arial"/>
        </w:rPr>
        <w:t>employee segments. Maintain awareness of public health requirements and legislation when designing return</w:t>
      </w:r>
      <w:r w:rsidR="00E65534">
        <w:rPr>
          <w:rFonts w:ascii="Arial" w:hAnsi="Arial" w:cs="Arial"/>
        </w:rPr>
        <w:t>-</w:t>
      </w:r>
      <w:r w:rsidRPr="00281C64">
        <w:rPr>
          <w:rFonts w:ascii="Arial" w:hAnsi="Arial" w:cs="Arial"/>
        </w:rPr>
        <w:t>to</w:t>
      </w:r>
      <w:r w:rsidR="00E65534">
        <w:rPr>
          <w:rFonts w:ascii="Arial" w:hAnsi="Arial" w:cs="Arial"/>
        </w:rPr>
        <w:t>-</w:t>
      </w:r>
      <w:r w:rsidRPr="00281C64">
        <w:rPr>
          <w:rFonts w:ascii="Arial" w:hAnsi="Arial" w:cs="Arial"/>
        </w:rPr>
        <w:t>the</w:t>
      </w:r>
      <w:r w:rsidR="00E65534">
        <w:rPr>
          <w:rFonts w:ascii="Arial" w:hAnsi="Arial" w:cs="Arial"/>
        </w:rPr>
        <w:t>-</w:t>
      </w:r>
      <w:r w:rsidRPr="00281C64">
        <w:rPr>
          <w:rFonts w:ascii="Arial" w:hAnsi="Arial" w:cs="Arial"/>
        </w:rPr>
        <w:t>workplace</w:t>
      </w:r>
      <w:r w:rsidR="00E65534">
        <w:rPr>
          <w:rFonts w:ascii="Arial" w:hAnsi="Arial" w:cs="Arial"/>
        </w:rPr>
        <w:t xml:space="preserve"> (RTW)</w:t>
      </w:r>
      <w:r w:rsidRPr="00281C64">
        <w:rPr>
          <w:rFonts w:ascii="Arial" w:hAnsi="Arial" w:cs="Arial"/>
        </w:rPr>
        <w:t xml:space="preserve"> protocols, including actions to address employee</w:t>
      </w:r>
      <w:r w:rsidR="00E65534">
        <w:rPr>
          <w:rFonts w:ascii="Arial" w:hAnsi="Arial" w:cs="Arial"/>
        </w:rPr>
        <w:t>-</w:t>
      </w:r>
      <w:r w:rsidRPr="00281C64">
        <w:rPr>
          <w:rFonts w:ascii="Arial" w:hAnsi="Arial" w:cs="Arial"/>
        </w:rPr>
        <w:t>specific challenges. Finally, create a plan with key triggers and be prepared to iterate</w:t>
      </w:r>
      <w:r w:rsidR="007E7F4E" w:rsidRPr="00281C64">
        <w:rPr>
          <w:rFonts w:ascii="Arial" w:hAnsi="Arial" w:cs="Arial"/>
        </w:rPr>
        <w:t xml:space="preserve">. </w:t>
      </w:r>
    </w:p>
    <w:p w14:paraId="44026C07" w14:textId="62866941" w:rsidR="00150238" w:rsidRPr="00281C64" w:rsidRDefault="00150238" w:rsidP="004F62F6">
      <w:pPr>
        <w:pStyle w:val="Heading3"/>
      </w:pPr>
      <w:r w:rsidRPr="00281C64">
        <w:t xml:space="preserve">Client Challenge </w:t>
      </w:r>
    </w:p>
    <w:p w14:paraId="1E061C41" w14:textId="3172B9EC" w:rsidR="00044369" w:rsidRPr="00281C64" w:rsidRDefault="00044369" w:rsidP="00044369">
      <w:pPr>
        <w:numPr>
          <w:ilvl w:val="0"/>
          <w:numId w:val="7"/>
        </w:numPr>
        <w:rPr>
          <w:rFonts w:eastAsia="Calibri" w:cs="Arial"/>
          <w:sz w:val="22"/>
          <w:szCs w:val="22"/>
        </w:rPr>
      </w:pPr>
      <w:r w:rsidRPr="00281C64">
        <w:rPr>
          <w:rFonts w:eastAsia="Calibri" w:cs="Arial"/>
          <w:sz w:val="22"/>
          <w:szCs w:val="22"/>
        </w:rPr>
        <w:t xml:space="preserve">There are currently multiple vaccines for COVID-19, </w:t>
      </w:r>
      <w:r w:rsidR="00E65534">
        <w:rPr>
          <w:rFonts w:eastAsia="Calibri" w:cs="Arial"/>
          <w:sz w:val="22"/>
          <w:szCs w:val="22"/>
        </w:rPr>
        <w:t>but</w:t>
      </w:r>
      <w:r w:rsidRPr="00281C64">
        <w:rPr>
          <w:rFonts w:eastAsia="Calibri" w:cs="Arial"/>
          <w:sz w:val="22"/>
          <w:szCs w:val="22"/>
        </w:rPr>
        <w:t xml:space="preserve"> uptake around the world varies. Balancing the protection of employees in a workplace with employees’ privacy </w:t>
      </w:r>
      <w:r w:rsidR="00E65534">
        <w:rPr>
          <w:rFonts w:eastAsia="Calibri" w:cs="Arial"/>
          <w:sz w:val="22"/>
          <w:szCs w:val="22"/>
        </w:rPr>
        <w:t>and</w:t>
      </w:r>
      <w:r w:rsidRPr="00281C64">
        <w:rPr>
          <w:rFonts w:eastAsia="Calibri" w:cs="Arial"/>
          <w:sz w:val="22"/>
          <w:szCs w:val="22"/>
        </w:rPr>
        <w:t xml:space="preserve"> rights poses an issue.</w:t>
      </w:r>
    </w:p>
    <w:p w14:paraId="6EE6383C" w14:textId="1DEF3EBA" w:rsidR="000222F7" w:rsidRPr="00281C64" w:rsidRDefault="000222F7" w:rsidP="00044369">
      <w:pPr>
        <w:numPr>
          <w:ilvl w:val="0"/>
          <w:numId w:val="7"/>
        </w:numPr>
        <w:rPr>
          <w:rFonts w:eastAsia="Calibri" w:cs="Arial"/>
          <w:sz w:val="22"/>
          <w:szCs w:val="22"/>
        </w:rPr>
      </w:pPr>
      <w:r w:rsidRPr="00281C64">
        <w:rPr>
          <w:rFonts w:eastAsia="Calibri" w:cs="Arial"/>
          <w:sz w:val="22"/>
          <w:szCs w:val="22"/>
        </w:rPr>
        <w:t xml:space="preserve">Organizations need to put protocols in place to ensure the health </w:t>
      </w:r>
      <w:r w:rsidR="00884C24">
        <w:rPr>
          <w:rFonts w:eastAsia="Calibri" w:cs="Arial"/>
          <w:sz w:val="22"/>
          <w:szCs w:val="22"/>
        </w:rPr>
        <w:t>and</w:t>
      </w:r>
      <w:r w:rsidRPr="00281C64">
        <w:rPr>
          <w:rFonts w:eastAsia="Calibri" w:cs="Arial"/>
          <w:sz w:val="22"/>
          <w:szCs w:val="22"/>
        </w:rPr>
        <w:t xml:space="preserve"> safety of anyone accessing the workplace and to prevent outbreaks. </w:t>
      </w:r>
      <w:r w:rsidR="00884C24">
        <w:rPr>
          <w:rFonts w:eastAsia="Calibri" w:cs="Arial"/>
          <w:sz w:val="22"/>
          <w:szCs w:val="22"/>
        </w:rPr>
        <w:t>Protocols require o</w:t>
      </w:r>
      <w:r w:rsidRPr="00281C64">
        <w:rPr>
          <w:rFonts w:eastAsia="Calibri" w:cs="Arial"/>
          <w:sz w:val="22"/>
          <w:szCs w:val="22"/>
        </w:rPr>
        <w:t xml:space="preserve">rganizations </w:t>
      </w:r>
      <w:r w:rsidR="00884C24">
        <w:rPr>
          <w:rFonts w:eastAsia="Calibri" w:cs="Arial"/>
          <w:sz w:val="22"/>
          <w:szCs w:val="22"/>
        </w:rPr>
        <w:t>to</w:t>
      </w:r>
      <w:r w:rsidRPr="00281C64">
        <w:rPr>
          <w:rFonts w:eastAsia="Calibri" w:cs="Arial"/>
          <w:sz w:val="22"/>
          <w:szCs w:val="22"/>
        </w:rPr>
        <w:t xml:space="preserve"> assess and modify current operations and workplace layouts.</w:t>
      </w:r>
    </w:p>
    <w:p w14:paraId="7AFEABE4" w14:textId="7DB7E997" w:rsidR="00044369" w:rsidRPr="00281C64" w:rsidRDefault="00044369" w:rsidP="00044369">
      <w:pPr>
        <w:numPr>
          <w:ilvl w:val="0"/>
          <w:numId w:val="7"/>
        </w:numPr>
        <w:rPr>
          <w:rFonts w:eastAsia="Calibri" w:cs="Arial"/>
          <w:sz w:val="22"/>
          <w:szCs w:val="22"/>
        </w:rPr>
      </w:pPr>
      <w:r w:rsidRPr="00281C64">
        <w:rPr>
          <w:rFonts w:eastAsia="Calibri" w:cs="Arial"/>
          <w:sz w:val="22"/>
          <w:szCs w:val="22"/>
        </w:rPr>
        <w:t xml:space="preserve">Organizations operating in different regions may have different federal and local public health restrictions and COVID-19 guidelines and be in different stages of the pandemic. </w:t>
      </w:r>
    </w:p>
    <w:p w14:paraId="270587AE" w14:textId="4037C30C" w:rsidR="00150238" w:rsidRPr="00281C64" w:rsidRDefault="00044369" w:rsidP="00044369">
      <w:pPr>
        <w:numPr>
          <w:ilvl w:val="0"/>
          <w:numId w:val="7"/>
        </w:numPr>
        <w:rPr>
          <w:rFonts w:eastAsia="Calibri" w:cs="Arial"/>
          <w:sz w:val="22"/>
          <w:szCs w:val="22"/>
        </w:rPr>
      </w:pPr>
      <w:r w:rsidRPr="00281C64">
        <w:rPr>
          <w:rFonts w:eastAsia="Calibri" w:cs="Arial"/>
          <w:sz w:val="22"/>
          <w:szCs w:val="22"/>
        </w:rPr>
        <w:t>This disruption may be greater or lesser across work units within an organization, requiring different work units to operate in different ways or at different times</w:t>
      </w:r>
      <w:r w:rsidR="0061655C" w:rsidRPr="00281C64">
        <w:rPr>
          <w:rFonts w:eastAsia="Calibri" w:cs="Arial"/>
          <w:sz w:val="22"/>
          <w:szCs w:val="22"/>
        </w:rPr>
        <w:t xml:space="preserve">.  </w:t>
      </w:r>
      <w:r w:rsidR="00150238" w:rsidRPr="00281C64">
        <w:rPr>
          <w:rFonts w:eastAsia="Calibri" w:cs="Arial"/>
          <w:sz w:val="22"/>
          <w:szCs w:val="22"/>
        </w:rPr>
        <w:t xml:space="preserve">  </w:t>
      </w:r>
    </w:p>
    <w:p w14:paraId="1A32E09A" w14:textId="0505EC0E" w:rsidR="00150238" w:rsidRPr="00150238" w:rsidRDefault="00150238" w:rsidP="004F62F6">
      <w:pPr>
        <w:pStyle w:val="Heading3"/>
        <w:rPr>
          <w:color w:val="808080" w:themeColor="background1" w:themeShade="80"/>
          <w:szCs w:val="20"/>
        </w:rPr>
      </w:pPr>
      <w:r w:rsidRPr="00150238">
        <w:t>Critical Insight</w:t>
      </w:r>
      <w:r w:rsidRPr="00150238">
        <w:rPr>
          <w:szCs w:val="20"/>
        </w:rPr>
        <w:t xml:space="preserve"> </w:t>
      </w:r>
    </w:p>
    <w:p w14:paraId="0796704F" w14:textId="6499BC11" w:rsidR="00150238" w:rsidRPr="00281C64" w:rsidRDefault="00044369" w:rsidP="006070FC">
      <w:pPr>
        <w:numPr>
          <w:ilvl w:val="0"/>
          <w:numId w:val="8"/>
        </w:numPr>
        <w:rPr>
          <w:rFonts w:eastAsia="Calibri" w:cs="Arial"/>
          <w:sz w:val="22"/>
          <w:szCs w:val="22"/>
        </w:rPr>
      </w:pPr>
      <w:r w:rsidRPr="00281C64">
        <w:rPr>
          <w:rFonts w:eastAsia="Calibri" w:cs="Arial"/>
          <w:sz w:val="22"/>
          <w:szCs w:val="22"/>
        </w:rPr>
        <w:t>Workplace changes spurred by the realities of the pandemic have been so seismic it is highly unlikely things will go back to the way they were before</w:t>
      </w:r>
      <w:r w:rsidR="0061655C" w:rsidRPr="00281C64">
        <w:rPr>
          <w:rFonts w:eastAsia="Calibri" w:cs="Arial"/>
          <w:sz w:val="22"/>
          <w:szCs w:val="22"/>
        </w:rPr>
        <w:t>.</w:t>
      </w:r>
    </w:p>
    <w:p w14:paraId="3E996D2B" w14:textId="4A1AB213" w:rsidR="00044369" w:rsidRDefault="00044369" w:rsidP="00044369">
      <w:pPr>
        <w:rPr>
          <w:rFonts w:eastAsia="Calibri" w:cs="Arial"/>
          <w:color w:val="5B9BD5" w:themeColor="accent1"/>
          <w:sz w:val="22"/>
          <w:szCs w:val="22"/>
        </w:rPr>
      </w:pPr>
    </w:p>
    <w:p w14:paraId="0DE48C86" w14:textId="7DF2726D" w:rsidR="00044369" w:rsidRDefault="00044369" w:rsidP="00044369">
      <w:pPr>
        <w:rPr>
          <w:rFonts w:eastAsia="Calibri" w:cs="Arial"/>
          <w:color w:val="5B9BD5" w:themeColor="accent1"/>
          <w:sz w:val="22"/>
          <w:szCs w:val="22"/>
        </w:rPr>
      </w:pPr>
    </w:p>
    <w:p w14:paraId="6325E31B" w14:textId="4C5E0CAC" w:rsidR="00E71450" w:rsidRPr="0097682F" w:rsidRDefault="00A258AC" w:rsidP="00044369">
      <w:pPr>
        <w:rPr>
          <w:rFonts w:eastAsia="Calibri" w:cs="Arial"/>
          <w:color w:val="5B9BD5" w:themeColor="accent1"/>
          <w:sz w:val="10"/>
          <w:szCs w:val="10"/>
        </w:rPr>
      </w:pPr>
      <w:r w:rsidRPr="0097682F">
        <w:rPr>
          <w:rFonts w:ascii="Montserrat SemiBold" w:eastAsia="+mj-ea" w:hAnsi="Montserrat SemiBold" w:cs="Arial"/>
          <w:color w:val="717272"/>
          <w:kern w:val="24"/>
          <w:sz w:val="36"/>
          <w:szCs w:val="36"/>
        </w:rPr>
        <w:t>Use McLean &amp; Company’s Roadmap to Returning to the Workplace</w:t>
      </w:r>
      <w:r w:rsidRPr="0097682F">
        <w:rPr>
          <w:rFonts w:eastAsia="Calibri" w:cs="Arial"/>
          <w:color w:val="5B9BD5" w:themeColor="accent1"/>
          <w:sz w:val="10"/>
          <w:szCs w:val="10"/>
        </w:rPr>
        <w:t xml:space="preserve"> </w:t>
      </w:r>
    </w:p>
    <w:p w14:paraId="4B6566FB" w14:textId="4F18F188" w:rsidR="007E7F4E" w:rsidRPr="007E7F4E" w:rsidRDefault="00E52E5D" w:rsidP="00E52E5D">
      <w:pPr>
        <w:pStyle w:val="Heading3"/>
        <w:jc w:val="center"/>
      </w:pPr>
      <w:r w:rsidRPr="0097682F">
        <w:rPr>
          <w:noProof/>
          <w:sz w:val="18"/>
          <w:szCs w:val="22"/>
        </w:rPr>
        <w:drawing>
          <wp:anchor distT="0" distB="0" distL="114300" distR="114300" simplePos="0" relativeHeight="251658240" behindDoc="0" locked="0" layoutInCell="1" allowOverlap="1" wp14:anchorId="3C72928A" wp14:editId="36CA7047">
            <wp:simplePos x="0" y="0"/>
            <wp:positionH relativeFrom="margin">
              <wp:posOffset>1214755</wp:posOffset>
            </wp:positionH>
            <wp:positionV relativeFrom="paragraph">
              <wp:posOffset>134620</wp:posOffset>
            </wp:positionV>
            <wp:extent cx="4570888" cy="168453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888" cy="1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2EF" w:rsidRPr="0061655C">
        <w:rPr>
          <w:color w:val="5B9BD5" w:themeColor="accent1"/>
        </w:rPr>
        <w:br w:type="page"/>
      </w:r>
      <w:r w:rsidR="007E7F4E" w:rsidRPr="007E7F4E">
        <w:lastRenderedPageBreak/>
        <w:t>Get to Action</w:t>
      </w:r>
    </w:p>
    <w:p w14:paraId="0C2C858D" w14:textId="77777777" w:rsidR="007E7F4E" w:rsidRPr="007E7F4E" w:rsidRDefault="007E7F4E" w:rsidP="007E7F4E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7721"/>
      </w:tblGrid>
      <w:tr w:rsidR="007E7F4E" w:rsidRPr="007152EF" w14:paraId="487EC692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7DCC" w14:textId="4660F0CC" w:rsidR="007E7F4E" w:rsidRPr="00C477D9" w:rsidRDefault="007E7F4E" w:rsidP="00421D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Pr="00C477D9">
              <w:rPr>
                <w:rFonts w:cs="Arial"/>
                <w:sz w:val="22"/>
                <w:szCs w:val="22"/>
              </w:rPr>
              <w:t xml:space="preserve">. </w:t>
            </w:r>
            <w:r w:rsidR="00C47B38" w:rsidRPr="00C47B38">
              <w:rPr>
                <w:rFonts w:cs="Arial"/>
                <w:sz w:val="22"/>
                <w:szCs w:val="22"/>
              </w:rPr>
              <w:t>Identify and prioritize work units and employee segments</w:t>
            </w:r>
            <w:r w:rsidR="006166A6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001D5" w14:textId="2FDD2D6A" w:rsidR="00B22230" w:rsidRDefault="00B22230" w:rsidP="00CD2A3B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B22230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 xml:space="preserve">Identify work units within the organization. </w:t>
            </w:r>
          </w:p>
          <w:p w14:paraId="6E1BFA92" w14:textId="53241ABE" w:rsidR="00D3572D" w:rsidRPr="00D171CD" w:rsidRDefault="00027EE0" w:rsidP="00D3572D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t>Assess employee sentiment on returning to the workplace and determine if a work-from-home program is needed</w:t>
            </w:r>
            <w:r w:rsidR="00D3572D" w:rsidRPr="00D171CD">
              <w:rPr>
                <w:rFonts w:cs="Arial"/>
                <w:sz w:val="22"/>
                <w:szCs w:val="22"/>
                <w:lang w:val="en-CA"/>
              </w:rPr>
              <w:t>.</w:t>
            </w:r>
          </w:p>
          <w:p w14:paraId="2B22BFB2" w14:textId="74E9B8A2" w:rsidR="001C4B06" w:rsidRPr="00D171CD" w:rsidRDefault="001C4B06" w:rsidP="00D3572D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t>Analyze data and prioritize work units to return to the workplace.</w:t>
            </w:r>
          </w:p>
          <w:p w14:paraId="122EECDB" w14:textId="7647A794" w:rsidR="007E7F4E" w:rsidRPr="00D3572D" w:rsidRDefault="00027EE0" w:rsidP="00D3572D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Identify and prioritize employee segments to return to the workplace</w:t>
            </w:r>
            <w:r w:rsidR="00B22230" w:rsidRPr="00D3572D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.</w:t>
            </w:r>
          </w:p>
          <w:p w14:paraId="2D413A71" w14:textId="77777777" w:rsidR="007E7F4E" w:rsidRPr="00C477D9" w:rsidRDefault="007E7F4E" w:rsidP="002F2E36">
            <w:pPr>
              <w:spacing w:before="120"/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C477D9">
              <w:rPr>
                <w:rFonts w:cs="Arial"/>
                <w:b/>
                <w:bCs/>
                <w:sz w:val="22"/>
                <w:szCs w:val="22"/>
                <w:shd w:val="clear" w:color="auto" w:fill="FFFFFF"/>
                <w:lang w:val="en-CA"/>
              </w:rPr>
              <w:t>Deliverables:</w:t>
            </w:r>
          </w:p>
          <w:p w14:paraId="4B647A55" w14:textId="3C1BA6F1" w:rsidR="007E7F4E" w:rsidRPr="00CC5BB4" w:rsidRDefault="00CC5BB4" w:rsidP="00CD2A3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CC5BB4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Return</w:t>
            </w:r>
            <w:r w:rsidR="006166A6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-</w:t>
            </w:r>
            <w:r w:rsidRPr="00CC5BB4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to</w:t>
            </w:r>
            <w:r w:rsidR="006166A6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-</w:t>
            </w:r>
            <w:r w:rsidRPr="00CC5BB4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the</w:t>
            </w:r>
            <w:r w:rsidR="006166A6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-</w:t>
            </w:r>
            <w:r w:rsidRPr="00CC5BB4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Workplace Workbook</w:t>
            </w:r>
          </w:p>
          <w:p w14:paraId="0A1AFD94" w14:textId="77C08E69" w:rsidR="00CC5BB4" w:rsidRPr="002F2E36" w:rsidRDefault="008D0AFA" w:rsidP="00CD2A3B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cs="Arial"/>
                <w:i/>
                <w:iCs/>
                <w:sz w:val="22"/>
                <w:szCs w:val="22"/>
              </w:rPr>
            </w:pPr>
            <w:r w:rsidRPr="002F2E36">
              <w:rPr>
                <w:rFonts w:cs="Arial"/>
                <w:i/>
                <w:iCs/>
                <w:sz w:val="22"/>
                <w:szCs w:val="22"/>
              </w:rPr>
              <w:t>Case Stud</w:t>
            </w:r>
            <w:r w:rsidR="00027EE0">
              <w:rPr>
                <w:rFonts w:cs="Arial"/>
                <w:i/>
                <w:iCs/>
                <w:sz w:val="22"/>
                <w:szCs w:val="22"/>
              </w:rPr>
              <w:t>y</w:t>
            </w:r>
            <w:r w:rsidRPr="002F2E36">
              <w:rPr>
                <w:rFonts w:cs="Arial"/>
                <w:i/>
                <w:iCs/>
                <w:sz w:val="22"/>
                <w:szCs w:val="22"/>
              </w:rPr>
              <w:t>: Return</w:t>
            </w:r>
            <w:r w:rsidR="006166A6">
              <w:rPr>
                <w:rFonts w:cs="Arial"/>
                <w:i/>
                <w:iCs/>
                <w:sz w:val="22"/>
                <w:szCs w:val="22"/>
              </w:rPr>
              <w:t>-</w:t>
            </w:r>
            <w:r w:rsidRPr="002F2E36">
              <w:rPr>
                <w:rFonts w:cs="Arial"/>
                <w:i/>
                <w:iCs/>
                <w:sz w:val="22"/>
                <w:szCs w:val="22"/>
              </w:rPr>
              <w:t>to</w:t>
            </w:r>
            <w:r w:rsidR="006166A6">
              <w:rPr>
                <w:rFonts w:cs="Arial"/>
                <w:i/>
                <w:iCs/>
                <w:sz w:val="22"/>
                <w:szCs w:val="22"/>
              </w:rPr>
              <w:t>-</w:t>
            </w:r>
            <w:r w:rsidRPr="002F2E36">
              <w:rPr>
                <w:rFonts w:cs="Arial"/>
                <w:i/>
                <w:iCs/>
                <w:sz w:val="22"/>
                <w:szCs w:val="22"/>
              </w:rPr>
              <w:t>the</w:t>
            </w:r>
            <w:r w:rsidR="006166A6">
              <w:rPr>
                <w:rFonts w:cs="Arial"/>
                <w:i/>
                <w:iCs/>
                <w:sz w:val="22"/>
                <w:szCs w:val="22"/>
              </w:rPr>
              <w:t>-</w:t>
            </w:r>
            <w:r w:rsidRPr="002F2E36">
              <w:rPr>
                <w:rFonts w:cs="Arial"/>
                <w:i/>
                <w:iCs/>
                <w:sz w:val="22"/>
                <w:szCs w:val="22"/>
              </w:rPr>
              <w:t>Workplace Playbook</w:t>
            </w:r>
          </w:p>
        </w:tc>
      </w:tr>
      <w:tr w:rsidR="007E7F4E" w:rsidRPr="007152EF" w14:paraId="2C33C1A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A488" w14:textId="0F93F40B" w:rsidR="007E7F4E" w:rsidRPr="00C477D9" w:rsidRDefault="007E7F4E" w:rsidP="00421D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Pr="00C477D9">
              <w:rPr>
                <w:rFonts w:cs="Arial"/>
                <w:sz w:val="22"/>
                <w:szCs w:val="22"/>
              </w:rPr>
              <w:t xml:space="preserve">. </w:t>
            </w:r>
            <w:r w:rsidR="00C47B38" w:rsidRPr="00C47B38">
              <w:rPr>
                <w:rFonts w:cs="Arial"/>
                <w:sz w:val="22"/>
                <w:szCs w:val="22"/>
              </w:rPr>
              <w:t xml:space="preserve">Build the </w:t>
            </w:r>
            <w:r w:rsidR="006166A6">
              <w:rPr>
                <w:rFonts w:cs="Arial"/>
                <w:sz w:val="22"/>
                <w:szCs w:val="22"/>
              </w:rPr>
              <w:t>RTW</w:t>
            </w:r>
            <w:r w:rsidR="00C47B38" w:rsidRPr="00C47B38">
              <w:rPr>
                <w:rFonts w:cs="Arial"/>
                <w:sz w:val="22"/>
                <w:szCs w:val="22"/>
              </w:rPr>
              <w:t xml:space="preserve"> plan</w:t>
            </w:r>
            <w:r w:rsidR="006166A6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D7474" w14:textId="6873B563" w:rsidR="00027EE0" w:rsidRDefault="00027EE0" w:rsidP="00D171CD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t>Select the approach</w:t>
            </w:r>
            <w:r w:rsidR="006166A6">
              <w:rPr>
                <w:rFonts w:cs="Arial"/>
                <w:sz w:val="22"/>
                <w:szCs w:val="22"/>
                <w:lang w:val="en-CA"/>
              </w:rPr>
              <w:t xml:space="preserve"> you will use to return employees to the workplace</w:t>
            </w:r>
            <w:r>
              <w:rPr>
                <w:rFonts w:cs="Arial"/>
                <w:sz w:val="22"/>
                <w:szCs w:val="22"/>
                <w:lang w:val="en-CA"/>
              </w:rPr>
              <w:t>.</w:t>
            </w:r>
          </w:p>
          <w:p w14:paraId="5CBAED8C" w14:textId="6D09E1D4" w:rsidR="00D171CD" w:rsidRPr="00D171CD" w:rsidRDefault="00D171CD" w:rsidP="00D171CD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  <w:lang w:val="en-CA"/>
              </w:rPr>
            </w:pPr>
            <w:r w:rsidRPr="00D171CD">
              <w:rPr>
                <w:rFonts w:cs="Arial"/>
                <w:sz w:val="22"/>
                <w:szCs w:val="22"/>
                <w:lang w:val="en-CA"/>
              </w:rPr>
              <w:t>Tailor organizational programs</w:t>
            </w:r>
            <w:r w:rsidR="006166A6">
              <w:rPr>
                <w:rFonts w:cs="Arial"/>
                <w:sz w:val="22"/>
                <w:szCs w:val="22"/>
                <w:lang w:val="en-CA"/>
              </w:rPr>
              <w:t xml:space="preserve"> and</w:t>
            </w:r>
            <w:r w:rsidRPr="00D171CD">
              <w:rPr>
                <w:rFonts w:cs="Arial"/>
                <w:sz w:val="22"/>
                <w:szCs w:val="22"/>
                <w:lang w:val="en-CA"/>
              </w:rPr>
              <w:t xml:space="preserve"> policies and </w:t>
            </w:r>
            <w:r w:rsidR="00027EE0">
              <w:rPr>
                <w:rFonts w:cs="Arial"/>
                <w:sz w:val="22"/>
                <w:szCs w:val="22"/>
                <w:lang w:val="en-CA"/>
              </w:rPr>
              <w:t>update existing COVID-19 protocols</w:t>
            </w:r>
            <w:r w:rsidRPr="00D171CD">
              <w:rPr>
                <w:rFonts w:cs="Arial"/>
                <w:sz w:val="22"/>
                <w:szCs w:val="22"/>
                <w:lang w:val="en-CA"/>
              </w:rPr>
              <w:t>.</w:t>
            </w:r>
          </w:p>
          <w:p w14:paraId="1BBFCD43" w14:textId="77777777" w:rsidR="007E7F4E" w:rsidRPr="00C477D9" w:rsidRDefault="007E7F4E" w:rsidP="002F2E36">
            <w:pPr>
              <w:spacing w:before="120"/>
              <w:rPr>
                <w:rFonts w:cs="Arial"/>
                <w:sz w:val="22"/>
                <w:szCs w:val="22"/>
                <w:lang w:val="en-CA"/>
              </w:rPr>
            </w:pPr>
            <w:r w:rsidRPr="00C477D9">
              <w:rPr>
                <w:rFonts w:cs="Arial"/>
                <w:b/>
                <w:bCs/>
                <w:sz w:val="22"/>
                <w:szCs w:val="22"/>
                <w:lang w:val="en-CA"/>
              </w:rPr>
              <w:t>Deliverables:</w:t>
            </w:r>
          </w:p>
          <w:p w14:paraId="469A9FAC" w14:textId="7FDE4981" w:rsidR="007E7F4E" w:rsidRPr="00644D9E" w:rsidRDefault="00644D9E" w:rsidP="00421D70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  <w:lang w:val="en-CA"/>
              </w:rPr>
            </w:pPr>
            <w:r w:rsidRPr="00644D9E">
              <w:rPr>
                <w:rFonts w:cs="Arial"/>
                <w:i/>
                <w:iCs/>
                <w:sz w:val="22"/>
                <w:szCs w:val="22"/>
                <w:lang w:val="en-CA"/>
              </w:rPr>
              <w:t>Return</w:t>
            </w:r>
            <w:r w:rsidR="006166A6">
              <w:rPr>
                <w:rFonts w:cs="Arial"/>
                <w:i/>
                <w:iCs/>
                <w:sz w:val="22"/>
                <w:szCs w:val="22"/>
                <w:lang w:val="en-CA"/>
              </w:rPr>
              <w:t>-</w:t>
            </w:r>
            <w:r w:rsidRPr="00644D9E">
              <w:rPr>
                <w:rFonts w:cs="Arial"/>
                <w:i/>
                <w:iCs/>
                <w:sz w:val="22"/>
                <w:szCs w:val="22"/>
                <w:lang w:val="en-CA"/>
              </w:rPr>
              <w:t>to</w:t>
            </w:r>
            <w:r w:rsidR="006166A6">
              <w:rPr>
                <w:rFonts w:cs="Arial"/>
                <w:i/>
                <w:iCs/>
                <w:sz w:val="22"/>
                <w:szCs w:val="22"/>
                <w:lang w:val="en-CA"/>
              </w:rPr>
              <w:t>-</w:t>
            </w:r>
            <w:r w:rsidRPr="00644D9E">
              <w:rPr>
                <w:rFonts w:cs="Arial"/>
                <w:i/>
                <w:iCs/>
                <w:sz w:val="22"/>
                <w:szCs w:val="22"/>
                <w:lang w:val="en-CA"/>
              </w:rPr>
              <w:t>the</w:t>
            </w:r>
            <w:r w:rsidR="006166A6">
              <w:rPr>
                <w:rFonts w:cs="Arial"/>
                <w:i/>
                <w:iCs/>
                <w:sz w:val="22"/>
                <w:szCs w:val="22"/>
                <w:lang w:val="en-CA"/>
              </w:rPr>
              <w:t>-</w:t>
            </w:r>
            <w:r w:rsidRPr="00644D9E">
              <w:rPr>
                <w:rFonts w:cs="Arial"/>
                <w:i/>
                <w:iCs/>
                <w:sz w:val="22"/>
                <w:szCs w:val="22"/>
                <w:lang w:val="en-CA"/>
              </w:rPr>
              <w:t>Workplace Plan Summary Tool</w:t>
            </w:r>
          </w:p>
          <w:p w14:paraId="6B1B5960" w14:textId="23907B56" w:rsidR="001D1B70" w:rsidRPr="002F2E36" w:rsidRDefault="0066405D" w:rsidP="00421D70">
            <w:pPr>
              <w:numPr>
                <w:ilvl w:val="0"/>
                <w:numId w:val="13"/>
              </w:numPr>
              <w:rPr>
                <w:rFonts w:cs="Arial"/>
                <w:i/>
                <w:iCs/>
                <w:sz w:val="22"/>
                <w:szCs w:val="22"/>
                <w:lang w:val="en-CA"/>
              </w:rPr>
            </w:pPr>
            <w:r w:rsidRPr="002F2E36">
              <w:rPr>
                <w:rFonts w:cs="Arial"/>
                <w:i/>
                <w:iCs/>
                <w:sz w:val="22"/>
                <w:szCs w:val="22"/>
                <w:lang w:val="en-CA"/>
              </w:rPr>
              <w:t>Idea Catalog: Return</w:t>
            </w:r>
            <w:r w:rsidR="006166A6">
              <w:rPr>
                <w:rFonts w:cs="Arial"/>
                <w:i/>
                <w:iCs/>
                <w:sz w:val="22"/>
                <w:szCs w:val="22"/>
                <w:lang w:val="en-CA"/>
              </w:rPr>
              <w:t>-</w:t>
            </w:r>
            <w:r w:rsidRPr="002F2E36">
              <w:rPr>
                <w:rFonts w:cs="Arial"/>
                <w:i/>
                <w:iCs/>
                <w:sz w:val="22"/>
                <w:szCs w:val="22"/>
                <w:lang w:val="en-CA"/>
              </w:rPr>
              <w:t>to</w:t>
            </w:r>
            <w:r w:rsidR="006166A6">
              <w:rPr>
                <w:rFonts w:cs="Arial"/>
                <w:i/>
                <w:iCs/>
                <w:sz w:val="22"/>
                <w:szCs w:val="22"/>
                <w:lang w:val="en-CA"/>
              </w:rPr>
              <w:t>-</w:t>
            </w:r>
            <w:r w:rsidRPr="002F2E36">
              <w:rPr>
                <w:rFonts w:cs="Arial"/>
                <w:i/>
                <w:iCs/>
                <w:sz w:val="22"/>
                <w:szCs w:val="22"/>
                <w:lang w:val="en-CA"/>
              </w:rPr>
              <w:t>the</w:t>
            </w:r>
            <w:r w:rsidR="006166A6">
              <w:rPr>
                <w:rFonts w:cs="Arial"/>
                <w:i/>
                <w:iCs/>
                <w:sz w:val="22"/>
                <w:szCs w:val="22"/>
                <w:lang w:val="en-CA"/>
              </w:rPr>
              <w:t>-</w:t>
            </w:r>
            <w:r w:rsidRPr="002F2E36">
              <w:rPr>
                <w:rFonts w:cs="Arial"/>
                <w:i/>
                <w:iCs/>
                <w:sz w:val="22"/>
                <w:szCs w:val="22"/>
                <w:lang w:val="en-CA"/>
              </w:rPr>
              <w:t>Workplace Playbook</w:t>
            </w:r>
          </w:p>
          <w:p w14:paraId="28324953" w14:textId="5A46DCAF" w:rsidR="0066405D" w:rsidRPr="00C477D9" w:rsidRDefault="00522CD0" w:rsidP="002F2E36">
            <w:pPr>
              <w:numPr>
                <w:ilvl w:val="0"/>
                <w:numId w:val="13"/>
              </w:numPr>
              <w:spacing w:after="120"/>
              <w:ind w:left="357" w:hanging="357"/>
              <w:rPr>
                <w:rFonts w:cs="Arial"/>
                <w:sz w:val="22"/>
                <w:szCs w:val="22"/>
                <w:lang w:val="en-CA"/>
              </w:rPr>
            </w:pPr>
            <w:r w:rsidRPr="002F2E36">
              <w:rPr>
                <w:rFonts w:cs="Arial"/>
                <w:i/>
                <w:iCs/>
                <w:sz w:val="22"/>
                <w:szCs w:val="22"/>
                <w:lang w:val="en-CA"/>
              </w:rPr>
              <w:t>Return</w:t>
            </w:r>
            <w:r w:rsidR="006166A6">
              <w:rPr>
                <w:rFonts w:cs="Arial"/>
                <w:i/>
                <w:iCs/>
                <w:sz w:val="22"/>
                <w:szCs w:val="22"/>
                <w:lang w:val="en-CA"/>
              </w:rPr>
              <w:t>-</w:t>
            </w:r>
            <w:r w:rsidRPr="002F2E36">
              <w:rPr>
                <w:rFonts w:cs="Arial"/>
                <w:i/>
                <w:iCs/>
                <w:sz w:val="22"/>
                <w:szCs w:val="22"/>
                <w:lang w:val="en-CA"/>
              </w:rPr>
              <w:t>to</w:t>
            </w:r>
            <w:r w:rsidR="006166A6">
              <w:rPr>
                <w:rFonts w:cs="Arial"/>
                <w:i/>
                <w:iCs/>
                <w:sz w:val="22"/>
                <w:szCs w:val="22"/>
                <w:lang w:val="en-CA"/>
              </w:rPr>
              <w:t>-</w:t>
            </w:r>
            <w:r w:rsidRPr="002F2E36">
              <w:rPr>
                <w:rFonts w:cs="Arial"/>
                <w:i/>
                <w:iCs/>
                <w:sz w:val="22"/>
                <w:szCs w:val="22"/>
                <w:lang w:val="en-CA"/>
              </w:rPr>
              <w:t>the</w:t>
            </w:r>
            <w:r w:rsidR="006166A6">
              <w:rPr>
                <w:rFonts w:cs="Arial"/>
                <w:i/>
                <w:iCs/>
                <w:sz w:val="22"/>
                <w:szCs w:val="22"/>
                <w:lang w:val="en-CA"/>
              </w:rPr>
              <w:t>-</w:t>
            </w:r>
            <w:r w:rsidRPr="002F2E36">
              <w:rPr>
                <w:rFonts w:cs="Arial"/>
                <w:i/>
                <w:iCs/>
                <w:sz w:val="22"/>
                <w:szCs w:val="22"/>
                <w:lang w:val="en-CA"/>
              </w:rPr>
              <w:t>Workplace Workbook</w:t>
            </w:r>
          </w:p>
        </w:tc>
      </w:tr>
      <w:tr w:rsidR="007E7F4E" w:rsidRPr="007152EF" w14:paraId="23630E1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0EF7" w14:textId="547F1A95" w:rsidR="007E7F4E" w:rsidRPr="00C477D9" w:rsidRDefault="007E7F4E" w:rsidP="00421D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Pr="00C477D9">
              <w:rPr>
                <w:rFonts w:cs="Arial"/>
                <w:sz w:val="22"/>
                <w:szCs w:val="22"/>
              </w:rPr>
              <w:t xml:space="preserve">. </w:t>
            </w:r>
            <w:r w:rsidR="00C47B38" w:rsidRPr="00C47B38">
              <w:rPr>
                <w:rFonts w:cs="Arial"/>
                <w:sz w:val="22"/>
                <w:szCs w:val="22"/>
              </w:rPr>
              <w:t>Prepare to support employees through the transition</w:t>
            </w:r>
            <w:r w:rsidR="006166A6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18EDA" w14:textId="20DD10D2" w:rsidR="00027EE0" w:rsidRDefault="001C4B06" w:rsidP="00BA5D9A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t xml:space="preserve">Create a detailed </w:t>
            </w:r>
            <w:r w:rsidR="006166A6">
              <w:rPr>
                <w:rFonts w:cs="Arial"/>
                <w:sz w:val="22"/>
                <w:szCs w:val="22"/>
                <w:lang w:val="en-CA"/>
              </w:rPr>
              <w:t>RTW</w:t>
            </w:r>
            <w:r>
              <w:rPr>
                <w:rFonts w:cs="Arial"/>
                <w:sz w:val="22"/>
                <w:szCs w:val="22"/>
                <w:lang w:val="en-CA"/>
              </w:rPr>
              <w:t xml:space="preserve"> action plan</w:t>
            </w:r>
            <w:r w:rsidR="009B1128">
              <w:rPr>
                <w:rFonts w:cs="Arial"/>
                <w:sz w:val="22"/>
                <w:szCs w:val="22"/>
                <w:lang w:val="en-CA"/>
              </w:rPr>
              <w:t>.</w:t>
            </w:r>
          </w:p>
          <w:p w14:paraId="55FE29A1" w14:textId="3C2D00B9" w:rsidR="00BA5D9A" w:rsidRPr="00BA5D9A" w:rsidRDefault="00BA5D9A" w:rsidP="00BA5D9A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  <w:lang w:val="en-CA"/>
              </w:rPr>
            </w:pPr>
            <w:r w:rsidRPr="00BA5D9A">
              <w:rPr>
                <w:rFonts w:cs="Arial"/>
                <w:sz w:val="22"/>
                <w:szCs w:val="22"/>
                <w:lang w:val="en-CA"/>
              </w:rPr>
              <w:t>Review communication best practices and leverage McLean &amp; Company’s resources.</w:t>
            </w:r>
          </w:p>
          <w:p w14:paraId="128FE4CD" w14:textId="77777777" w:rsidR="00BA5D9A" w:rsidRPr="00BA5D9A" w:rsidRDefault="00BA5D9A" w:rsidP="00BA5D9A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  <w:lang w:val="en-CA"/>
              </w:rPr>
            </w:pPr>
            <w:r w:rsidRPr="00BA5D9A">
              <w:rPr>
                <w:rFonts w:cs="Arial"/>
                <w:sz w:val="22"/>
                <w:szCs w:val="22"/>
                <w:lang w:val="en-CA"/>
              </w:rPr>
              <w:t>Plan internal and external communications.</w:t>
            </w:r>
          </w:p>
          <w:p w14:paraId="760B7BDA" w14:textId="3EDE788E" w:rsidR="007E7F4E" w:rsidRPr="00C477D9" w:rsidRDefault="00BA5D9A" w:rsidP="00BA5D9A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  <w:lang w:val="en-CA"/>
              </w:rPr>
            </w:pPr>
            <w:r w:rsidRPr="00BA5D9A">
              <w:rPr>
                <w:rFonts w:cs="Arial"/>
                <w:sz w:val="22"/>
                <w:szCs w:val="22"/>
                <w:lang w:val="en-CA"/>
              </w:rPr>
              <w:t>Establish an approach for monitoring the success of the deployment plan</w:t>
            </w:r>
            <w:r w:rsidR="007E7F4E" w:rsidRPr="00C477D9">
              <w:rPr>
                <w:rFonts w:cs="Arial"/>
                <w:sz w:val="22"/>
                <w:szCs w:val="22"/>
                <w:lang w:val="en-CA"/>
              </w:rPr>
              <w:t>.</w:t>
            </w:r>
          </w:p>
          <w:p w14:paraId="319B4A5D" w14:textId="77777777" w:rsidR="007E7F4E" w:rsidRPr="00C477D9" w:rsidRDefault="007E7F4E" w:rsidP="002F2E36">
            <w:pPr>
              <w:spacing w:before="120"/>
              <w:rPr>
                <w:rFonts w:cs="Arial"/>
                <w:sz w:val="22"/>
                <w:szCs w:val="22"/>
                <w:lang w:val="en-CA"/>
              </w:rPr>
            </w:pPr>
            <w:r w:rsidRPr="00C477D9">
              <w:rPr>
                <w:rFonts w:cs="Arial"/>
                <w:b/>
                <w:bCs/>
                <w:sz w:val="22"/>
                <w:szCs w:val="22"/>
                <w:lang w:val="en-CA"/>
              </w:rPr>
              <w:t>Deliverables:</w:t>
            </w:r>
          </w:p>
          <w:p w14:paraId="686FA61B" w14:textId="77777777" w:rsidR="007E7F4E" w:rsidRPr="00843685" w:rsidRDefault="00843685" w:rsidP="00421D70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  <w:lang w:val="en-CA"/>
              </w:rPr>
            </w:pPr>
            <w:r w:rsidRPr="00843685">
              <w:rPr>
                <w:rFonts w:cs="Arial"/>
                <w:i/>
                <w:iCs/>
                <w:sz w:val="22"/>
                <w:szCs w:val="22"/>
                <w:lang w:val="en-CA"/>
              </w:rPr>
              <w:t>HR Action and Communication Plan</w:t>
            </w:r>
          </w:p>
          <w:p w14:paraId="3BCC303B" w14:textId="6EB2735E" w:rsidR="00843685" w:rsidRPr="002F2E36" w:rsidRDefault="002F2E36" w:rsidP="002F2E36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cs="Arial"/>
                <w:i/>
                <w:iCs/>
                <w:sz w:val="22"/>
                <w:szCs w:val="22"/>
                <w:lang w:val="en-CA"/>
              </w:rPr>
            </w:pPr>
            <w:r w:rsidRPr="002F2E36">
              <w:rPr>
                <w:rFonts w:cs="Arial"/>
                <w:i/>
                <w:iCs/>
                <w:sz w:val="22"/>
                <w:szCs w:val="22"/>
                <w:lang w:val="en-CA"/>
              </w:rPr>
              <w:t>Return</w:t>
            </w:r>
            <w:r w:rsidR="0028765D">
              <w:rPr>
                <w:rFonts w:cs="Arial"/>
                <w:i/>
                <w:iCs/>
                <w:sz w:val="22"/>
                <w:szCs w:val="22"/>
                <w:lang w:val="en-CA"/>
              </w:rPr>
              <w:t>-</w:t>
            </w:r>
            <w:r w:rsidRPr="002F2E36">
              <w:rPr>
                <w:rFonts w:cs="Arial"/>
                <w:i/>
                <w:iCs/>
                <w:sz w:val="22"/>
                <w:szCs w:val="22"/>
                <w:lang w:val="en-CA"/>
              </w:rPr>
              <w:t>to</w:t>
            </w:r>
            <w:r w:rsidR="0028765D">
              <w:rPr>
                <w:rFonts w:cs="Arial"/>
                <w:i/>
                <w:iCs/>
                <w:sz w:val="22"/>
                <w:szCs w:val="22"/>
                <w:lang w:val="en-CA"/>
              </w:rPr>
              <w:t>-</w:t>
            </w:r>
            <w:r w:rsidRPr="002F2E36">
              <w:rPr>
                <w:rFonts w:cs="Arial"/>
                <w:i/>
                <w:iCs/>
                <w:sz w:val="22"/>
                <w:szCs w:val="22"/>
                <w:lang w:val="en-CA"/>
              </w:rPr>
              <w:t>the</w:t>
            </w:r>
            <w:r w:rsidR="0028765D">
              <w:rPr>
                <w:rFonts w:cs="Arial"/>
                <w:i/>
                <w:iCs/>
                <w:sz w:val="22"/>
                <w:szCs w:val="22"/>
                <w:lang w:val="en-CA"/>
              </w:rPr>
              <w:t>-</w:t>
            </w:r>
            <w:r w:rsidRPr="002F2E36">
              <w:rPr>
                <w:rFonts w:cs="Arial"/>
                <w:i/>
                <w:iCs/>
                <w:sz w:val="22"/>
                <w:szCs w:val="22"/>
                <w:lang w:val="en-CA"/>
              </w:rPr>
              <w:t>Workplace FAQ Template</w:t>
            </w:r>
          </w:p>
        </w:tc>
      </w:tr>
    </w:tbl>
    <w:p w14:paraId="290B6CDE" w14:textId="4242E9C8" w:rsidR="00A258AC" w:rsidRDefault="00A258AC" w:rsidP="00A258AC">
      <w:pPr>
        <w:jc w:val="center"/>
      </w:pPr>
    </w:p>
    <w:p w14:paraId="1C0F66CA" w14:textId="64D35CD1" w:rsidR="0044502E" w:rsidRDefault="0044502E" w:rsidP="00A258AC">
      <w:pPr>
        <w:jc w:val="center"/>
      </w:pPr>
    </w:p>
    <w:p w14:paraId="1B9CBD02" w14:textId="77777777" w:rsidR="009B1128" w:rsidRDefault="009B1128" w:rsidP="00A258AC">
      <w:pPr>
        <w:jc w:val="center"/>
      </w:pPr>
    </w:p>
    <w:p w14:paraId="51D5375B" w14:textId="7402C34E" w:rsidR="00C8415D" w:rsidRDefault="00C8415D" w:rsidP="00A258AC">
      <w:pPr>
        <w:jc w:val="center"/>
      </w:pPr>
      <w:r>
        <w:t>__________________________________________________</w:t>
      </w:r>
    </w:p>
    <w:p w14:paraId="7BB97067" w14:textId="77777777" w:rsidR="00C8415D" w:rsidRDefault="00C8415D" w:rsidP="00C8415D">
      <w:pPr>
        <w:jc w:val="center"/>
      </w:pPr>
    </w:p>
    <w:p w14:paraId="7750E2B4" w14:textId="190888A9" w:rsidR="00DB120E" w:rsidRDefault="00DB120E" w:rsidP="00DB120E">
      <w:pPr>
        <w:jc w:val="center"/>
      </w:pPr>
      <w:r w:rsidRPr="002C7EBA">
        <w:rPr>
          <w:rFonts w:cs="Arial"/>
          <w:szCs w:val="20"/>
        </w:rPr>
        <w:t xml:space="preserve">For acceptable use of this template, refer to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's </w:t>
      </w:r>
      <w:hyperlink r:id="rId11" w:history="1">
        <w:r w:rsidRPr="002C7EBA">
          <w:rPr>
            <w:rStyle w:val="Hyperlink"/>
            <w:rFonts w:cs="Arial"/>
            <w:szCs w:val="20"/>
          </w:rPr>
          <w:t>Terms of Use</w:t>
        </w:r>
      </w:hyperlink>
      <w:r w:rsidRPr="002C7EBA">
        <w:rPr>
          <w:rFonts w:cs="Arial"/>
          <w:szCs w:val="20"/>
        </w:rPr>
        <w:t xml:space="preserve">. These documents are intended to supply general information only, </w:t>
      </w:r>
      <w:r w:rsidR="004F62F6" w:rsidRPr="00B8015F">
        <w:rPr>
          <w:rFonts w:cs="Arial"/>
          <w:color w:val="000000"/>
          <w:shd w:val="clear" w:color="auto" w:fill="FFFFFF"/>
        </w:rPr>
        <w:t>not specific professional, personal, legal, or accounting advice</w:t>
      </w:r>
      <w:r w:rsidRPr="002C7EBA">
        <w:rPr>
          <w:rFonts w:cs="Arial"/>
          <w:szCs w:val="20"/>
        </w:rPr>
        <w:t xml:space="preserve">, and are not intended to be used as a substitute for any kind of professional advice. Use this document either in whole or in part as a basis and guide for document creation. To customize this document with corporate marks and titles, simply replace the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 information in the Header and Footer fields of this document.</w:t>
      </w:r>
    </w:p>
    <w:p w14:paraId="4711218B" w14:textId="77777777" w:rsidR="00C8415D" w:rsidRPr="008B4684" w:rsidRDefault="00C8415D" w:rsidP="008B4684">
      <w:pPr>
        <w:tabs>
          <w:tab w:val="left" w:pos="2865"/>
        </w:tabs>
      </w:pPr>
    </w:p>
    <w:sectPr w:rsidR="00C8415D" w:rsidRPr="008B4684" w:rsidSect="004F62F6">
      <w:headerReference w:type="default" r:id="rId12"/>
      <w:footerReference w:type="default" r:id="rId13"/>
      <w:pgSz w:w="12240" w:h="15840"/>
      <w:pgMar w:top="1620" w:right="1082" w:bottom="1440" w:left="9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7701" w14:textId="77777777" w:rsidR="00933F6C" w:rsidRDefault="00933F6C">
      <w:r>
        <w:separator/>
      </w:r>
    </w:p>
  </w:endnote>
  <w:endnote w:type="continuationSeparator" w:id="0">
    <w:p w14:paraId="3D1BAF50" w14:textId="77777777" w:rsidR="00933F6C" w:rsidRDefault="00933F6C">
      <w:r>
        <w:continuationSeparator/>
      </w:r>
    </w:p>
  </w:endnote>
  <w:endnote w:type="continuationNotice" w:id="1">
    <w:p w14:paraId="1F80F934" w14:textId="77777777" w:rsidR="00933F6C" w:rsidRDefault="00933F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+mj-ea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8E0E" w14:textId="77777777" w:rsidR="00775EA1" w:rsidRPr="00775EA1" w:rsidRDefault="005C7852">
    <w:pPr>
      <w:pStyle w:val="Footer"/>
      <w:jc w:val="center"/>
      <w:rPr>
        <w:color w:val="808080"/>
      </w:rPr>
    </w:pPr>
    <w:r w:rsidRPr="00775EA1">
      <w:rPr>
        <w:color w:val="808080"/>
      </w:rPr>
      <w:fldChar w:fldCharType="begin"/>
    </w:r>
    <w:r w:rsidR="00775EA1" w:rsidRPr="00775EA1">
      <w:rPr>
        <w:color w:val="808080"/>
      </w:rPr>
      <w:instrText xml:space="preserve"> PAGE   \* MERGEFORMAT </w:instrText>
    </w:r>
    <w:r w:rsidRPr="00775EA1">
      <w:rPr>
        <w:color w:val="808080"/>
      </w:rPr>
      <w:fldChar w:fldCharType="separate"/>
    </w:r>
    <w:r w:rsidR="004F62F6">
      <w:rPr>
        <w:noProof/>
        <w:color w:val="808080"/>
      </w:rPr>
      <w:t>2</w:t>
    </w:r>
    <w:r w:rsidRPr="00775EA1">
      <w:rPr>
        <w:color w:val="808080"/>
      </w:rPr>
      <w:fldChar w:fldCharType="end"/>
    </w:r>
  </w:p>
  <w:p w14:paraId="1E5B761F" w14:textId="0DDAD9F6" w:rsidR="00775EA1" w:rsidRPr="004F62F6" w:rsidRDefault="004F62F6">
    <w:pPr>
      <w:pStyle w:val="Footer"/>
      <w:jc w:val="center"/>
      <w:rPr>
        <w:color w:val="808080"/>
        <w:szCs w:val="16"/>
      </w:rPr>
    </w:pPr>
    <w:r>
      <w:rPr>
        <w:color w:val="808080"/>
        <w:szCs w:val="16"/>
      </w:rPr>
      <w:t xml:space="preserve">   </w:t>
    </w:r>
    <w:r w:rsidR="00775EA1" w:rsidRPr="004F62F6">
      <w:rPr>
        <w:color w:val="808080"/>
        <w:szCs w:val="16"/>
      </w:rPr>
      <w:t>McLean &amp; Company</w:t>
    </w:r>
  </w:p>
  <w:p w14:paraId="35CF3E3B" w14:textId="77777777" w:rsidR="00775EA1" w:rsidRPr="004F62F6" w:rsidRDefault="00775EA1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7DCB" w14:textId="77777777" w:rsidR="00933F6C" w:rsidRDefault="00933F6C">
      <w:r>
        <w:separator/>
      </w:r>
    </w:p>
  </w:footnote>
  <w:footnote w:type="continuationSeparator" w:id="0">
    <w:p w14:paraId="7F8E4407" w14:textId="77777777" w:rsidR="00933F6C" w:rsidRDefault="00933F6C">
      <w:r>
        <w:continuationSeparator/>
      </w:r>
    </w:p>
  </w:footnote>
  <w:footnote w:type="continuationNotice" w:id="1">
    <w:p w14:paraId="6FB6D3EC" w14:textId="77777777" w:rsidR="00933F6C" w:rsidRDefault="00933F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EA68" w14:textId="1D07B202" w:rsidR="00701BB0" w:rsidRPr="004D32EB" w:rsidRDefault="002344C3">
    <w:pPr>
      <w:pStyle w:val="Header"/>
      <w:rPr>
        <w:rFonts w:ascii="Arial Black" w:hAnsi="Arial Black"/>
        <w:color w:val="FFFFFF"/>
      </w:rPr>
    </w:pPr>
    <w:r>
      <w:rPr>
        <w:rFonts w:ascii="Arial Black" w:hAnsi="Arial Black"/>
        <w:noProof/>
        <w:color w:val="FFFFFF"/>
        <w:lang w:val="en-CA" w:eastAsia="en-CA"/>
      </w:rPr>
      <w:drawing>
        <wp:anchor distT="0" distB="0" distL="114300" distR="114300" simplePos="0" relativeHeight="251658240" behindDoc="1" locked="0" layoutInCell="1" allowOverlap="1" wp14:anchorId="09934992" wp14:editId="63BB21AC">
          <wp:simplePos x="0" y="0"/>
          <wp:positionH relativeFrom="column">
            <wp:posOffset>-638175</wp:posOffset>
          </wp:positionH>
          <wp:positionV relativeFrom="paragraph">
            <wp:posOffset>-381000</wp:posOffset>
          </wp:positionV>
          <wp:extent cx="9554845" cy="904875"/>
          <wp:effectExtent l="0" t="0" r="0" b="7620"/>
          <wp:wrapNone/>
          <wp:docPr id="4" name="Picture 1" descr="word-job_desc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-job_desc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484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BF3"/>
    <w:multiLevelType w:val="hybridMultilevel"/>
    <w:tmpl w:val="A57E4D00"/>
    <w:lvl w:ilvl="0" w:tplc="562AE9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344D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F48E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BA25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6807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CC2D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E66D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C6D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C46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50B33B4"/>
    <w:multiLevelType w:val="hybridMultilevel"/>
    <w:tmpl w:val="77322812"/>
    <w:lvl w:ilvl="0" w:tplc="88EC3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ADA6E2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E1479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D926AA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87865F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0E316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A08C817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41E3C0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6A0D99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0541FF"/>
    <w:multiLevelType w:val="hybridMultilevel"/>
    <w:tmpl w:val="25A6A18E"/>
    <w:lvl w:ilvl="0" w:tplc="61A2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8C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A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43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E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CF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40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FB604F"/>
    <w:multiLevelType w:val="hybridMultilevel"/>
    <w:tmpl w:val="1B7CDD8C"/>
    <w:lvl w:ilvl="0" w:tplc="BDE48A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14C4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24DC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8A89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0E1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3028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985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363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BEB8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B57041D"/>
    <w:multiLevelType w:val="hybridMultilevel"/>
    <w:tmpl w:val="197642B8"/>
    <w:lvl w:ilvl="0" w:tplc="21D41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3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A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C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4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7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A7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E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570AA4"/>
    <w:multiLevelType w:val="hybridMultilevel"/>
    <w:tmpl w:val="E2205FFE"/>
    <w:lvl w:ilvl="0" w:tplc="E724D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23298F0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BAFC9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78BCC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3C661D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7D8FF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31C9AC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666F10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058457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37A2FEA"/>
    <w:multiLevelType w:val="hybridMultilevel"/>
    <w:tmpl w:val="BBAE8DC0"/>
    <w:lvl w:ilvl="0" w:tplc="92A694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CEBF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428F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764A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8A4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28BE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A8FA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6268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380A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28DA5CD3"/>
    <w:multiLevelType w:val="hybridMultilevel"/>
    <w:tmpl w:val="BF2A55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34F5C"/>
    <w:multiLevelType w:val="hybridMultilevel"/>
    <w:tmpl w:val="99CEF260"/>
    <w:lvl w:ilvl="0" w:tplc="F1C6DD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FA6B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7243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0C77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FAFA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3A00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26E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A691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9C43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39E23FF8"/>
    <w:multiLevelType w:val="hybridMultilevel"/>
    <w:tmpl w:val="A858C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8532E"/>
    <w:multiLevelType w:val="hybridMultilevel"/>
    <w:tmpl w:val="BE9852D4"/>
    <w:lvl w:ilvl="0" w:tplc="1AF6D0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3005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332537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FD48C1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196C11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C6C78C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960685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96EB9F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11C28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269553A"/>
    <w:multiLevelType w:val="hybridMultilevel"/>
    <w:tmpl w:val="9C421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C86806"/>
    <w:multiLevelType w:val="hybridMultilevel"/>
    <w:tmpl w:val="D72C394A"/>
    <w:lvl w:ilvl="0" w:tplc="2C8C5A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7AADE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79E2F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9CC915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DF0430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C3FE97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F8D80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4B3C90A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CB2FF3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9474016"/>
    <w:multiLevelType w:val="hybridMultilevel"/>
    <w:tmpl w:val="7C403F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F1B5E"/>
    <w:multiLevelType w:val="hybridMultilevel"/>
    <w:tmpl w:val="3CD402B0"/>
    <w:lvl w:ilvl="0" w:tplc="98D6D6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2E2A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4C0D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A8B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38CC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22E3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9895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54C1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B29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69F70953"/>
    <w:multiLevelType w:val="hybridMultilevel"/>
    <w:tmpl w:val="AD86A422"/>
    <w:lvl w:ilvl="0" w:tplc="14A8AF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B662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3E4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AC9F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1E90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1CF3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542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6A68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1C5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6F2365F5"/>
    <w:multiLevelType w:val="hybridMultilevel"/>
    <w:tmpl w:val="83F0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940E2"/>
    <w:multiLevelType w:val="hybridMultilevel"/>
    <w:tmpl w:val="B9741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A23C5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BE78C2"/>
    <w:multiLevelType w:val="hybridMultilevel"/>
    <w:tmpl w:val="1FA2F3B6"/>
    <w:lvl w:ilvl="0" w:tplc="33FA7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58CA6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D72A5A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CCC01E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332D74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7E83F4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9C0D77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27EE25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624DF5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B873CF9"/>
    <w:multiLevelType w:val="hybridMultilevel"/>
    <w:tmpl w:val="94C0182C"/>
    <w:lvl w:ilvl="0" w:tplc="9E86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C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0E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A5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6B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E6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24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0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C8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2"/>
  </w:num>
  <w:num w:numId="5">
    <w:abstractNumId w:val="4"/>
  </w:num>
  <w:num w:numId="6">
    <w:abstractNumId w:val="21"/>
  </w:num>
  <w:num w:numId="7">
    <w:abstractNumId w:val="12"/>
  </w:num>
  <w:num w:numId="8">
    <w:abstractNumId w:val="19"/>
  </w:num>
  <w:num w:numId="9">
    <w:abstractNumId w:val="17"/>
  </w:num>
  <w:num w:numId="10">
    <w:abstractNumId w:val="1"/>
  </w:num>
  <w:num w:numId="11">
    <w:abstractNumId w:val="3"/>
  </w:num>
  <w:num w:numId="12">
    <w:abstractNumId w:val="13"/>
  </w:num>
  <w:num w:numId="13">
    <w:abstractNumId w:val="16"/>
  </w:num>
  <w:num w:numId="14">
    <w:abstractNumId w:val="11"/>
  </w:num>
  <w:num w:numId="15">
    <w:abstractNumId w:val="0"/>
  </w:num>
  <w:num w:numId="16">
    <w:abstractNumId w:val="5"/>
  </w:num>
  <w:num w:numId="17">
    <w:abstractNumId w:val="8"/>
  </w:num>
  <w:num w:numId="18">
    <w:abstractNumId w:val="20"/>
  </w:num>
  <w:num w:numId="19">
    <w:abstractNumId w:val="6"/>
  </w:num>
  <w:num w:numId="20">
    <w:abstractNumId w:val="14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35"/>
    <w:rsid w:val="000222F7"/>
    <w:rsid w:val="00023800"/>
    <w:rsid w:val="00026ACB"/>
    <w:rsid w:val="00027EE0"/>
    <w:rsid w:val="00033B26"/>
    <w:rsid w:val="00044369"/>
    <w:rsid w:val="00044B5B"/>
    <w:rsid w:val="00077963"/>
    <w:rsid w:val="000D63E7"/>
    <w:rsid w:val="00134035"/>
    <w:rsid w:val="00142E39"/>
    <w:rsid w:val="00150238"/>
    <w:rsid w:val="00186D07"/>
    <w:rsid w:val="001C4B06"/>
    <w:rsid w:val="001D1B70"/>
    <w:rsid w:val="001F431F"/>
    <w:rsid w:val="0020649A"/>
    <w:rsid w:val="0021559C"/>
    <w:rsid w:val="00234116"/>
    <w:rsid w:val="002344C3"/>
    <w:rsid w:val="00253948"/>
    <w:rsid w:val="00281C64"/>
    <w:rsid w:val="0028765D"/>
    <w:rsid w:val="002C17B1"/>
    <w:rsid w:val="002C6A38"/>
    <w:rsid w:val="002D034A"/>
    <w:rsid w:val="002F2E36"/>
    <w:rsid w:val="003018D3"/>
    <w:rsid w:val="00343D15"/>
    <w:rsid w:val="00364660"/>
    <w:rsid w:val="00376B8E"/>
    <w:rsid w:val="004069F4"/>
    <w:rsid w:val="0042512C"/>
    <w:rsid w:val="0044502E"/>
    <w:rsid w:val="00455B7B"/>
    <w:rsid w:val="00486B78"/>
    <w:rsid w:val="00492F5D"/>
    <w:rsid w:val="004D32EB"/>
    <w:rsid w:val="004F57CC"/>
    <w:rsid w:val="004F62F6"/>
    <w:rsid w:val="00514649"/>
    <w:rsid w:val="00522CD0"/>
    <w:rsid w:val="005328F4"/>
    <w:rsid w:val="00544AFE"/>
    <w:rsid w:val="005C7852"/>
    <w:rsid w:val="006070FC"/>
    <w:rsid w:val="0061655C"/>
    <w:rsid w:val="006166A6"/>
    <w:rsid w:val="00644D9E"/>
    <w:rsid w:val="0066405D"/>
    <w:rsid w:val="006B0CA8"/>
    <w:rsid w:val="006C39E3"/>
    <w:rsid w:val="00701BB0"/>
    <w:rsid w:val="007152EF"/>
    <w:rsid w:val="00715498"/>
    <w:rsid w:val="00775EA1"/>
    <w:rsid w:val="00797640"/>
    <w:rsid w:val="007E7F4E"/>
    <w:rsid w:val="00801B44"/>
    <w:rsid w:val="00803CE4"/>
    <w:rsid w:val="0081572D"/>
    <w:rsid w:val="00830085"/>
    <w:rsid w:val="00843685"/>
    <w:rsid w:val="00867437"/>
    <w:rsid w:val="00884C24"/>
    <w:rsid w:val="008B4684"/>
    <w:rsid w:val="008B6398"/>
    <w:rsid w:val="008C5E54"/>
    <w:rsid w:val="008D0AFA"/>
    <w:rsid w:val="008F5841"/>
    <w:rsid w:val="00923F3F"/>
    <w:rsid w:val="00933F6C"/>
    <w:rsid w:val="00961878"/>
    <w:rsid w:val="0096410E"/>
    <w:rsid w:val="0097682F"/>
    <w:rsid w:val="009B1128"/>
    <w:rsid w:val="00A258AC"/>
    <w:rsid w:val="00A761A0"/>
    <w:rsid w:val="00AC45C3"/>
    <w:rsid w:val="00AF0D79"/>
    <w:rsid w:val="00B22230"/>
    <w:rsid w:val="00BA5D9A"/>
    <w:rsid w:val="00BA7D52"/>
    <w:rsid w:val="00C477D9"/>
    <w:rsid w:val="00C47B38"/>
    <w:rsid w:val="00C47B87"/>
    <w:rsid w:val="00C50C04"/>
    <w:rsid w:val="00C8415D"/>
    <w:rsid w:val="00CA08B6"/>
    <w:rsid w:val="00CA0EDC"/>
    <w:rsid w:val="00CB15B0"/>
    <w:rsid w:val="00CC5BB4"/>
    <w:rsid w:val="00CD2A3B"/>
    <w:rsid w:val="00D0516C"/>
    <w:rsid w:val="00D171CD"/>
    <w:rsid w:val="00D206DA"/>
    <w:rsid w:val="00D3572D"/>
    <w:rsid w:val="00D7056A"/>
    <w:rsid w:val="00D928F5"/>
    <w:rsid w:val="00D92959"/>
    <w:rsid w:val="00D97422"/>
    <w:rsid w:val="00DB120E"/>
    <w:rsid w:val="00DF35DF"/>
    <w:rsid w:val="00E52E5D"/>
    <w:rsid w:val="00E65534"/>
    <w:rsid w:val="00E71450"/>
    <w:rsid w:val="00F076A6"/>
    <w:rsid w:val="00F57F10"/>
    <w:rsid w:val="00F7348E"/>
    <w:rsid w:val="00F86E04"/>
    <w:rsid w:val="00F9338F"/>
    <w:rsid w:val="00FA3C12"/>
    <w:rsid w:val="00FC0A49"/>
    <w:rsid w:val="00F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C9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1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6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502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NoSpacing">
    <w:name w:val="No Spacing"/>
    <w:uiPriority w:val="1"/>
    <w:qFormat/>
    <w:rsid w:val="00150238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50238"/>
    <w:pPr>
      <w:spacing w:before="240" w:after="60" w:line="276" w:lineRule="auto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0238"/>
    <w:rPr>
      <w:rFonts w:ascii="Cambria" w:hAnsi="Cambria"/>
      <w:b/>
      <w:bCs/>
      <w:kern w:val="28"/>
      <w:sz w:val="28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5023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15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52E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477D9"/>
    <w:pPr>
      <w:ind w:left="720"/>
      <w:contextualSpacing/>
    </w:pPr>
  </w:style>
  <w:style w:type="character" w:styleId="CommentReference">
    <w:name w:val="annotation reference"/>
    <w:basedOn w:val="DefaultParagraphFont"/>
    <w:rsid w:val="007E7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4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E7F4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F4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81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13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85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20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409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506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3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832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4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26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9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64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69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70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84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9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212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69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6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02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13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0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46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54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93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27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61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11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8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7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48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3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7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83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39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87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88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4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r.mcleanco.com/term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75E7-2B6F-4F2B-ABDE-3153DADC4EA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D2EFC79-6B8B-4339-8FD8-84EBCFCF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2021-06-25T14:25:00Z</dcterms:created>
  <dcterms:modified xsi:type="dcterms:W3CDTF">2021-06-25T15:04:00Z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4214e-5322-4789-8422-cbe411bc3a74_Enabled">
    <vt:lpwstr>true</vt:lpwstr>
  </property>
  <property fmtid="{D5CDD505-2E9C-101B-9397-08002B2CF9AE}" pid="3" name="MSIP_Label_7d24214e-5322-4789-8422-cbe411bc3a74_SetDate">
    <vt:lpwstr>2021-06-25T14:34:06Z</vt:lpwstr>
  </property>
  <property fmtid="{D5CDD505-2E9C-101B-9397-08002B2CF9AE}" pid="4" name="MSIP_Label_7d24214e-5322-4789-8422-cbe411bc3a74_Method">
    <vt:lpwstr>Privileged</vt:lpwstr>
  </property>
  <property fmtid="{D5CDD505-2E9C-101B-9397-08002B2CF9AE}" pid="5" name="MSIP_Label_7d24214e-5322-4789-8422-cbe411bc3a74_Name">
    <vt:lpwstr>7d24214e-5322-4789-8422-cbe411bc3a74</vt:lpwstr>
  </property>
  <property fmtid="{D5CDD505-2E9C-101B-9397-08002B2CF9AE}" pid="6" name="MSIP_Label_7d24214e-5322-4789-8422-cbe411bc3a74_SiteId">
    <vt:lpwstr>113d1920-a1e0-48cf-a70a-868cbb03f3f6</vt:lpwstr>
  </property>
  <property fmtid="{D5CDD505-2E9C-101B-9397-08002B2CF9AE}" pid="7" name="MSIP_Label_7d24214e-5322-4789-8422-cbe411bc3a74_ActionId">
    <vt:lpwstr>19b358a1-6bb3-459a-a4ce-9c41fdbde53b</vt:lpwstr>
  </property>
  <property fmtid="{D5CDD505-2E9C-101B-9397-08002B2CF9AE}" pid="8" name="MSIP_Label_7d24214e-5322-4789-8422-cbe411bc3a74_ContentBits">
    <vt:lpwstr>0</vt:lpwstr>
  </property>
</Properties>
</file>