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6FE9" w14:textId="5EEAED6D" w:rsidR="008B4684" w:rsidRPr="004F62F6" w:rsidRDefault="003923BC" w:rsidP="004F62F6">
      <w:pPr>
        <w:pStyle w:val="Heading1"/>
        <w:rPr>
          <w:color w:val="000000" w:themeColor="text1"/>
        </w:rPr>
      </w:pPr>
      <w:r w:rsidRPr="00FD286A">
        <w:t>Reimagine Learning in the Face of Crisis</w:t>
      </w:r>
      <w:r w:rsidRPr="003923BC">
        <w:rPr>
          <w:color w:val="5B9BD5" w:themeColor="accent1"/>
        </w:rPr>
        <w:t xml:space="preserve"> </w:t>
      </w:r>
      <w:r w:rsidR="0020649A" w:rsidRPr="00150238">
        <w:t>Executive Briefing</w:t>
      </w:r>
    </w:p>
    <w:p w14:paraId="6D835752" w14:textId="31B2A4C7" w:rsidR="00150238" w:rsidRPr="007152EF" w:rsidRDefault="007152EF" w:rsidP="004F62F6">
      <w:pPr>
        <w:pStyle w:val="Heading3"/>
        <w:rPr>
          <w:rFonts w:eastAsia="Calibri"/>
        </w:rPr>
      </w:pPr>
      <w:r w:rsidRPr="007152EF">
        <w:rPr>
          <w:rFonts w:eastAsia="Calibri"/>
        </w:rPr>
        <w:t>Summary</w:t>
      </w:r>
      <w:r>
        <w:rPr>
          <w:rFonts w:eastAsia="Calibri"/>
        </w:rPr>
        <w:t xml:space="preserve"> </w:t>
      </w:r>
    </w:p>
    <w:p w14:paraId="7D02312E" w14:textId="31DC1421" w:rsidR="007152EF" w:rsidRPr="00C02F5C" w:rsidRDefault="00D8608E" w:rsidP="007152EF">
      <w:pPr>
        <w:rPr>
          <w:rFonts w:cs="Arial"/>
          <w:szCs w:val="20"/>
          <w:lang w:val="en-CA"/>
        </w:rPr>
      </w:pPr>
      <w:r w:rsidRPr="00C02F5C">
        <w:rPr>
          <w:rFonts w:eastAsia="Calibri" w:cs="Arial"/>
          <w:szCs w:val="20"/>
        </w:rPr>
        <w:t>The impact of VUCA (volatile, uncertain, complex, and ambiguous) times on organizations is well known, but the current COVID-19 pandemic is a crisis like no other. The economic impacts and labor disruptions are keeping HR leaders focused on damage control and workforce planning, with long-term priorities put on hold. The knee-jerk reaction may be to suspend all learning &amp; development (L&amp;D) activities to cut costs and mitigate risk.</w:t>
      </w:r>
    </w:p>
    <w:p w14:paraId="367DAAAC" w14:textId="3C049E29" w:rsidR="007E7F4E" w:rsidRPr="007152EF" w:rsidRDefault="00801B44" w:rsidP="004F62F6">
      <w:pPr>
        <w:pStyle w:val="Heading3"/>
        <w:rPr>
          <w:color w:val="808080" w:themeColor="background1" w:themeShade="80"/>
          <w:sz w:val="22"/>
          <w:szCs w:val="22"/>
        </w:rPr>
      </w:pPr>
      <w:r>
        <w:t>Our Recommendation</w:t>
      </w:r>
      <w:r w:rsidR="007E7F4E">
        <w:t xml:space="preserve"> </w:t>
      </w:r>
      <w:bookmarkStart w:id="0" w:name="_GoBack"/>
      <w:bookmarkEnd w:id="0"/>
    </w:p>
    <w:p w14:paraId="54C52FD6" w14:textId="18D4FD0E" w:rsidR="007E7F4E" w:rsidRPr="00C02F5C" w:rsidRDefault="00352E33" w:rsidP="00C02F5C">
      <w:pPr>
        <w:pStyle w:val="NoSpacing"/>
        <w:rPr>
          <w:rFonts w:ascii="Arial" w:hAnsi="Arial" w:cs="Arial"/>
          <w:sz w:val="20"/>
          <w:szCs w:val="20"/>
        </w:rPr>
      </w:pPr>
      <w:r w:rsidRPr="00C02F5C">
        <w:rPr>
          <w:rFonts w:ascii="Arial" w:hAnsi="Arial" w:cs="Arial"/>
          <w:sz w:val="20"/>
          <w:szCs w:val="20"/>
        </w:rPr>
        <w:t>L&amp;D teams should focus on how to support employees and managers to develop the critical competencies they need to successfully perform through the crisis, enabling organizations to survive and thrive during and beyond the crisis. Ensure learning needs align closely with evolving organizational priorities, collaborate cross-functionally, and curate content to provide the learning employees and leaders need most, when they need it</w:t>
      </w:r>
      <w:r w:rsidR="007E7F4E" w:rsidRPr="00C02F5C">
        <w:rPr>
          <w:rFonts w:ascii="Arial" w:hAnsi="Arial" w:cs="Arial"/>
          <w:sz w:val="20"/>
          <w:szCs w:val="20"/>
        </w:rPr>
        <w:t xml:space="preserve">. </w:t>
      </w:r>
    </w:p>
    <w:p w14:paraId="44026C07" w14:textId="62866941" w:rsidR="00150238" w:rsidRPr="00150238" w:rsidRDefault="00150238" w:rsidP="004F62F6">
      <w:pPr>
        <w:pStyle w:val="Heading3"/>
        <w:rPr>
          <w:color w:val="808080" w:themeColor="background1" w:themeShade="80"/>
        </w:rPr>
      </w:pPr>
      <w:r w:rsidRPr="00150238">
        <w:t xml:space="preserve">Client Challenge </w:t>
      </w:r>
    </w:p>
    <w:p w14:paraId="270587AE" w14:textId="21D6F21C" w:rsidR="00150238" w:rsidRPr="00C02F5C" w:rsidRDefault="003C222D" w:rsidP="00C02F5C">
      <w:pPr>
        <w:rPr>
          <w:rFonts w:eastAsia="Calibri" w:cs="Arial"/>
          <w:szCs w:val="20"/>
        </w:rPr>
      </w:pPr>
      <w:r w:rsidRPr="00C02F5C">
        <w:rPr>
          <w:rFonts w:eastAsia="Calibri" w:cs="Arial"/>
          <w:szCs w:val="20"/>
        </w:rPr>
        <w:t>As organizations re-evaluate their priorities and shift to new ways of working, leaders and employees are challenged to navigate unchartered territory and to adjust quickly to ever-evolving priorities. Learning how to perform effectively through the crisis and deliver on new priorities is crucial to the success of all employees and the organization</w:t>
      </w:r>
      <w:r w:rsidR="00352E33" w:rsidRPr="00C02F5C">
        <w:rPr>
          <w:rFonts w:eastAsia="Calibri" w:cs="Arial"/>
          <w:szCs w:val="20"/>
        </w:rPr>
        <w:t>.</w:t>
      </w:r>
      <w:r w:rsidR="0061655C" w:rsidRPr="00C02F5C">
        <w:rPr>
          <w:rFonts w:eastAsia="Calibri" w:cs="Arial"/>
          <w:szCs w:val="20"/>
        </w:rPr>
        <w:t xml:space="preserve">  </w:t>
      </w:r>
      <w:r w:rsidR="00150238" w:rsidRPr="00C02F5C">
        <w:rPr>
          <w:rFonts w:eastAsia="Calibri" w:cs="Arial"/>
          <w:szCs w:val="20"/>
        </w:rPr>
        <w:t xml:space="preserve">  </w:t>
      </w:r>
    </w:p>
    <w:p w14:paraId="1A32E09A" w14:textId="50BB7A59" w:rsidR="00150238" w:rsidRPr="00150238" w:rsidRDefault="00150238" w:rsidP="004F62F6">
      <w:pPr>
        <w:pStyle w:val="Heading3"/>
        <w:rPr>
          <w:color w:val="808080" w:themeColor="background1" w:themeShade="80"/>
          <w:szCs w:val="20"/>
        </w:rPr>
      </w:pPr>
      <w:r w:rsidRPr="00150238">
        <w:t>Critical Insight</w:t>
      </w:r>
      <w:r w:rsidRPr="00150238">
        <w:rPr>
          <w:szCs w:val="20"/>
        </w:rPr>
        <w:t xml:space="preserve"> </w:t>
      </w:r>
    </w:p>
    <w:p w14:paraId="0796704F" w14:textId="4E12D857" w:rsidR="00150238" w:rsidRPr="00C02F5C" w:rsidRDefault="004F45BE" w:rsidP="00C02F5C">
      <w:pPr>
        <w:rPr>
          <w:rFonts w:eastAsia="Calibri" w:cs="Arial"/>
          <w:szCs w:val="20"/>
        </w:rPr>
      </w:pPr>
      <w:r w:rsidRPr="00C02F5C">
        <w:rPr>
          <w:rFonts w:eastAsia="Calibri" w:cs="Arial"/>
          <w:szCs w:val="20"/>
        </w:rPr>
        <w:t>The most successful organizations recognize that learning is critical to adjusting quickly and effectively to their new reality. This requires L&amp;D to reimagine their approach to deliver learning that enables the organization’s immediate and evolving priorities</w:t>
      </w:r>
      <w:r w:rsidR="00352E33" w:rsidRPr="00C02F5C">
        <w:rPr>
          <w:rFonts w:eastAsia="Calibri" w:cs="Arial"/>
          <w:szCs w:val="20"/>
        </w:rPr>
        <w:t>.</w:t>
      </w:r>
    </w:p>
    <w:p w14:paraId="440255FA" w14:textId="28A91F87" w:rsidR="00352E33" w:rsidRDefault="00352E33" w:rsidP="00352E33">
      <w:pPr>
        <w:rPr>
          <w:rFonts w:eastAsia="Calibri" w:cs="Arial"/>
          <w:color w:val="5B9BD5" w:themeColor="accent1"/>
          <w:sz w:val="22"/>
          <w:szCs w:val="22"/>
        </w:rPr>
      </w:pPr>
    </w:p>
    <w:p w14:paraId="7B2B515C" w14:textId="77777777" w:rsidR="00352E33" w:rsidRPr="0061655C" w:rsidRDefault="00352E33" w:rsidP="00352E33">
      <w:pPr>
        <w:rPr>
          <w:rFonts w:eastAsia="Calibri" w:cs="Arial"/>
          <w:color w:val="5B9BD5" w:themeColor="accent1"/>
          <w:sz w:val="22"/>
          <w:szCs w:val="22"/>
        </w:rPr>
      </w:pPr>
    </w:p>
    <w:p w14:paraId="4B6566FB" w14:textId="2BF620A3" w:rsidR="007E7F4E" w:rsidRPr="007E7F4E" w:rsidRDefault="00777EA3" w:rsidP="004F62F6">
      <w:pPr>
        <w:pStyle w:val="Heading3"/>
      </w:pPr>
      <w:r>
        <w:rPr>
          <w:noProof/>
        </w:rPr>
        <w:drawing>
          <wp:anchor distT="0" distB="0" distL="114300" distR="114300" simplePos="0" relativeHeight="251658240" behindDoc="0" locked="0" layoutInCell="1" allowOverlap="1" wp14:anchorId="2B117973" wp14:editId="4EFC117F">
            <wp:simplePos x="0" y="0"/>
            <wp:positionH relativeFrom="page">
              <wp:posOffset>1608455</wp:posOffset>
            </wp:positionH>
            <wp:positionV relativeFrom="paragraph">
              <wp:posOffset>947420</wp:posOffset>
            </wp:positionV>
            <wp:extent cx="4556125" cy="15982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556125" cy="1598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651F4B3A" wp14:editId="7ABA0FC6">
            <wp:simplePos x="0" y="0"/>
            <wp:positionH relativeFrom="margin">
              <wp:posOffset>0</wp:posOffset>
            </wp:positionH>
            <wp:positionV relativeFrom="paragraph">
              <wp:posOffset>270648</wp:posOffset>
            </wp:positionV>
            <wp:extent cx="5676900" cy="5010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676900" cy="501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2EF" w:rsidRPr="0061655C">
        <w:rPr>
          <w:color w:val="5B9BD5"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C02F5C" w14:paraId="487EC692" w14:textId="77777777" w:rsidTr="004F62F6">
        <w:trPr>
          <w:jc w:val="center"/>
        </w:trPr>
        <w:tc>
          <w:tcPr>
            <w:tcW w:w="2764" w:type="dxa"/>
            <w:tcMar>
              <w:top w:w="0" w:type="dxa"/>
              <w:left w:w="108" w:type="dxa"/>
              <w:bottom w:w="0" w:type="dxa"/>
              <w:right w:w="108" w:type="dxa"/>
            </w:tcMar>
          </w:tcPr>
          <w:p w14:paraId="0D8A7DCC" w14:textId="0DE9BDD4" w:rsidR="007E7F4E" w:rsidRPr="00C02F5C" w:rsidRDefault="007E7F4E" w:rsidP="00FC2970">
            <w:pPr>
              <w:rPr>
                <w:rFonts w:cs="Arial"/>
                <w:szCs w:val="20"/>
              </w:rPr>
            </w:pPr>
            <w:r w:rsidRPr="00C02F5C">
              <w:rPr>
                <w:rFonts w:cs="Arial"/>
                <w:szCs w:val="20"/>
              </w:rPr>
              <w:t xml:space="preserve">1. </w:t>
            </w:r>
            <w:r w:rsidR="00331C67" w:rsidRPr="00C02F5C">
              <w:rPr>
                <w:rFonts w:cs="Arial"/>
                <w:szCs w:val="20"/>
              </w:rPr>
              <w:t>Prioritize</w:t>
            </w:r>
          </w:p>
        </w:tc>
        <w:tc>
          <w:tcPr>
            <w:tcW w:w="7721" w:type="dxa"/>
            <w:tcMar>
              <w:top w:w="0" w:type="dxa"/>
              <w:left w:w="108" w:type="dxa"/>
              <w:bottom w:w="0" w:type="dxa"/>
              <w:right w:w="108" w:type="dxa"/>
            </w:tcMar>
            <w:hideMark/>
          </w:tcPr>
          <w:p w14:paraId="7AF451B2" w14:textId="25793A68" w:rsidR="00214693" w:rsidRPr="00C02F5C" w:rsidRDefault="00214693" w:rsidP="00214693">
            <w:pPr>
              <w:numPr>
                <w:ilvl w:val="0"/>
                <w:numId w:val="10"/>
              </w:numPr>
              <w:rPr>
                <w:rFonts w:cs="Arial"/>
                <w:szCs w:val="20"/>
                <w:shd w:val="clear" w:color="auto" w:fill="FFFFFF"/>
                <w:lang w:val="en-CA"/>
              </w:rPr>
            </w:pPr>
            <w:r w:rsidRPr="00C02F5C">
              <w:rPr>
                <w:rFonts w:cs="Arial"/>
                <w:szCs w:val="20"/>
                <w:shd w:val="clear" w:color="auto" w:fill="FFFFFF"/>
                <w:lang w:val="en-CA"/>
              </w:rPr>
              <w:t>Identify and involve key stakeholders.</w:t>
            </w:r>
          </w:p>
          <w:p w14:paraId="09EF038B" w14:textId="6D565EA1" w:rsidR="00214693" w:rsidRPr="00C02F5C" w:rsidRDefault="00214693" w:rsidP="00214693">
            <w:pPr>
              <w:numPr>
                <w:ilvl w:val="0"/>
                <w:numId w:val="10"/>
              </w:numPr>
              <w:rPr>
                <w:rFonts w:cs="Arial"/>
                <w:szCs w:val="20"/>
                <w:shd w:val="clear" w:color="auto" w:fill="FFFFFF"/>
                <w:lang w:val="en-CA"/>
              </w:rPr>
            </w:pPr>
            <w:r w:rsidRPr="00C02F5C">
              <w:rPr>
                <w:rFonts w:cs="Arial"/>
                <w:szCs w:val="20"/>
                <w:shd w:val="clear" w:color="auto" w:fill="FFFFFF"/>
                <w:lang w:val="en-CA"/>
              </w:rPr>
              <w:t>Identify immediate priorities.</w:t>
            </w:r>
          </w:p>
          <w:p w14:paraId="122EECDB" w14:textId="316791EF" w:rsidR="007E7F4E" w:rsidRPr="00C02F5C" w:rsidRDefault="00214693" w:rsidP="001A19BA">
            <w:pPr>
              <w:numPr>
                <w:ilvl w:val="0"/>
                <w:numId w:val="10"/>
              </w:numPr>
              <w:spacing w:after="240"/>
              <w:rPr>
                <w:rFonts w:cs="Arial"/>
                <w:szCs w:val="20"/>
                <w:shd w:val="clear" w:color="auto" w:fill="FFFFFF"/>
                <w:lang w:val="en-CA"/>
              </w:rPr>
            </w:pPr>
            <w:r w:rsidRPr="00C02F5C">
              <w:rPr>
                <w:rFonts w:cs="Arial"/>
                <w:szCs w:val="20"/>
                <w:shd w:val="clear" w:color="auto" w:fill="FFFFFF"/>
                <w:lang w:val="en-CA"/>
              </w:rPr>
              <w:t>Conduct high-level triage of L&amp;D and identify immediate learning priorities</w:t>
            </w:r>
            <w:r w:rsidR="007E7F4E" w:rsidRPr="00C02F5C">
              <w:rPr>
                <w:rFonts w:cs="Arial"/>
                <w:szCs w:val="20"/>
                <w:shd w:val="clear" w:color="auto" w:fill="FFFFFF"/>
                <w:lang w:val="en-CA"/>
              </w:rPr>
              <w:t>.</w:t>
            </w:r>
          </w:p>
          <w:p w14:paraId="2D413A71" w14:textId="77777777" w:rsidR="007E7F4E" w:rsidRPr="00C02F5C" w:rsidRDefault="007E7F4E" w:rsidP="00FC2970">
            <w:pPr>
              <w:rPr>
                <w:rFonts w:cs="Arial"/>
                <w:szCs w:val="20"/>
                <w:shd w:val="clear" w:color="auto" w:fill="FFFFFF"/>
                <w:lang w:val="en-CA"/>
              </w:rPr>
            </w:pPr>
            <w:r w:rsidRPr="00C02F5C">
              <w:rPr>
                <w:rFonts w:cs="Arial"/>
                <w:b/>
                <w:bCs/>
                <w:szCs w:val="20"/>
                <w:shd w:val="clear" w:color="auto" w:fill="FFFFFF"/>
                <w:lang w:val="en-CA"/>
              </w:rPr>
              <w:t>Deliverables:</w:t>
            </w:r>
          </w:p>
          <w:p w14:paraId="0A1AFD94" w14:textId="5ABFC56F" w:rsidR="007E7F4E" w:rsidRPr="00C02F5C" w:rsidRDefault="00DC766F" w:rsidP="001A19BA">
            <w:pPr>
              <w:pStyle w:val="ListParagraph"/>
              <w:numPr>
                <w:ilvl w:val="0"/>
                <w:numId w:val="11"/>
              </w:numPr>
              <w:spacing w:after="240"/>
              <w:rPr>
                <w:rFonts w:cs="Arial"/>
                <w:szCs w:val="20"/>
              </w:rPr>
            </w:pPr>
            <w:r w:rsidRPr="00C02F5C">
              <w:rPr>
                <w:rFonts w:cs="Arial"/>
                <w:i/>
                <w:iCs/>
                <w:szCs w:val="20"/>
                <w:shd w:val="clear" w:color="auto" w:fill="FFFFFF"/>
                <w:lang w:val="en-CA"/>
              </w:rPr>
              <w:t xml:space="preserve">Reimagine Learning in the Face of Crisis Workbook </w:t>
            </w:r>
          </w:p>
        </w:tc>
      </w:tr>
      <w:tr w:rsidR="007E7F4E" w:rsidRPr="00C02F5C" w14:paraId="2C33C1A8" w14:textId="77777777" w:rsidTr="004F62F6">
        <w:trPr>
          <w:jc w:val="center"/>
        </w:trPr>
        <w:tc>
          <w:tcPr>
            <w:tcW w:w="2764" w:type="dxa"/>
            <w:tcMar>
              <w:top w:w="0" w:type="dxa"/>
              <w:left w:w="108" w:type="dxa"/>
              <w:bottom w:w="0" w:type="dxa"/>
              <w:right w:w="108" w:type="dxa"/>
            </w:tcMar>
          </w:tcPr>
          <w:p w14:paraId="4294A488" w14:textId="661F117D" w:rsidR="007E7F4E" w:rsidRPr="00C02F5C" w:rsidRDefault="007E7F4E" w:rsidP="00FC2970">
            <w:pPr>
              <w:rPr>
                <w:rFonts w:cs="Arial"/>
                <w:szCs w:val="20"/>
              </w:rPr>
            </w:pPr>
            <w:r w:rsidRPr="00C02F5C">
              <w:rPr>
                <w:rFonts w:cs="Arial"/>
                <w:szCs w:val="20"/>
              </w:rPr>
              <w:t xml:space="preserve">2. </w:t>
            </w:r>
            <w:r w:rsidR="00FD3A66" w:rsidRPr="00C02F5C">
              <w:rPr>
                <w:rFonts w:cs="Arial"/>
                <w:szCs w:val="20"/>
              </w:rPr>
              <w:t>Reimagine</w:t>
            </w:r>
          </w:p>
        </w:tc>
        <w:tc>
          <w:tcPr>
            <w:tcW w:w="7721" w:type="dxa"/>
            <w:tcMar>
              <w:top w:w="0" w:type="dxa"/>
              <w:left w:w="108" w:type="dxa"/>
              <w:bottom w:w="0" w:type="dxa"/>
              <w:right w:w="108" w:type="dxa"/>
            </w:tcMar>
            <w:hideMark/>
          </w:tcPr>
          <w:p w14:paraId="0A4225F3" w14:textId="039C623F" w:rsidR="000062A0" w:rsidRPr="00C02F5C" w:rsidRDefault="000062A0" w:rsidP="000062A0">
            <w:pPr>
              <w:numPr>
                <w:ilvl w:val="0"/>
                <w:numId w:val="12"/>
              </w:numPr>
              <w:rPr>
                <w:rFonts w:cs="Arial"/>
                <w:szCs w:val="20"/>
                <w:lang w:val="en-CA"/>
              </w:rPr>
            </w:pPr>
            <w:r w:rsidRPr="00C02F5C">
              <w:rPr>
                <w:rFonts w:cs="Arial"/>
                <w:szCs w:val="20"/>
                <w:lang w:val="en-CA"/>
              </w:rPr>
              <w:t>Identify the audience impacted by each priority to determine their learning needs.</w:t>
            </w:r>
          </w:p>
          <w:p w14:paraId="26B69C64" w14:textId="3EA96534" w:rsidR="000062A0" w:rsidRPr="00C02F5C" w:rsidRDefault="000062A0" w:rsidP="000062A0">
            <w:pPr>
              <w:numPr>
                <w:ilvl w:val="0"/>
                <w:numId w:val="12"/>
              </w:numPr>
              <w:rPr>
                <w:rFonts w:cs="Arial"/>
                <w:szCs w:val="20"/>
                <w:lang w:val="en-CA"/>
              </w:rPr>
            </w:pPr>
            <w:r w:rsidRPr="00C02F5C">
              <w:rPr>
                <w:rFonts w:cs="Arial"/>
                <w:szCs w:val="20"/>
                <w:lang w:val="en-CA"/>
              </w:rPr>
              <w:t>Translate immediate priorities into learning needs.</w:t>
            </w:r>
          </w:p>
          <w:p w14:paraId="469A7C3F" w14:textId="46156AA7" w:rsidR="000062A0" w:rsidRPr="00C02F5C" w:rsidRDefault="000062A0" w:rsidP="000062A0">
            <w:pPr>
              <w:numPr>
                <w:ilvl w:val="0"/>
                <w:numId w:val="12"/>
              </w:numPr>
              <w:rPr>
                <w:rFonts w:cs="Arial"/>
                <w:szCs w:val="20"/>
                <w:lang w:val="en-CA"/>
              </w:rPr>
            </w:pPr>
            <w:r w:rsidRPr="00C02F5C">
              <w:rPr>
                <w:rFonts w:cs="Arial"/>
                <w:szCs w:val="20"/>
                <w:lang w:val="en-CA"/>
              </w:rPr>
              <w:t>Evaluate ability to realistically deliver learning.</w:t>
            </w:r>
          </w:p>
          <w:p w14:paraId="2F9D6783" w14:textId="35C79E6C" w:rsidR="000062A0" w:rsidRPr="00C02F5C" w:rsidRDefault="000062A0" w:rsidP="000062A0">
            <w:pPr>
              <w:numPr>
                <w:ilvl w:val="0"/>
                <w:numId w:val="12"/>
              </w:numPr>
              <w:rPr>
                <w:rFonts w:cs="Arial"/>
                <w:szCs w:val="20"/>
                <w:lang w:val="en-CA"/>
              </w:rPr>
            </w:pPr>
            <w:r w:rsidRPr="00C02F5C">
              <w:rPr>
                <w:rFonts w:cs="Arial"/>
                <w:szCs w:val="20"/>
                <w:lang w:val="en-CA"/>
              </w:rPr>
              <w:t>Uncover existing internal content across the organization that supports learning needs.</w:t>
            </w:r>
          </w:p>
          <w:p w14:paraId="2FC460BC" w14:textId="4498D246" w:rsidR="007E7F4E" w:rsidRPr="00C02F5C" w:rsidRDefault="000062A0" w:rsidP="001A19BA">
            <w:pPr>
              <w:numPr>
                <w:ilvl w:val="0"/>
                <w:numId w:val="12"/>
              </w:numPr>
              <w:spacing w:after="240"/>
              <w:rPr>
                <w:rFonts w:cs="Arial"/>
                <w:szCs w:val="20"/>
                <w:lang w:val="en-CA"/>
              </w:rPr>
            </w:pPr>
            <w:r w:rsidRPr="00C02F5C">
              <w:rPr>
                <w:rFonts w:cs="Arial"/>
                <w:szCs w:val="20"/>
                <w:lang w:val="en-CA"/>
              </w:rPr>
              <w:t>Curate external content that will be used to support learning needs</w:t>
            </w:r>
            <w:r w:rsidR="007E7F4E" w:rsidRPr="00C02F5C">
              <w:rPr>
                <w:rFonts w:cs="Arial"/>
                <w:szCs w:val="20"/>
                <w:lang w:val="en-CA"/>
              </w:rPr>
              <w:t>.</w:t>
            </w:r>
          </w:p>
          <w:p w14:paraId="1BBFCD43" w14:textId="77777777" w:rsidR="007E7F4E" w:rsidRPr="00C02F5C" w:rsidRDefault="007E7F4E" w:rsidP="00FC2970">
            <w:pPr>
              <w:rPr>
                <w:rFonts w:cs="Arial"/>
                <w:szCs w:val="20"/>
                <w:lang w:val="en-CA"/>
              </w:rPr>
            </w:pPr>
            <w:r w:rsidRPr="00C02F5C">
              <w:rPr>
                <w:rFonts w:cs="Arial"/>
                <w:b/>
                <w:bCs/>
                <w:szCs w:val="20"/>
                <w:lang w:val="en-CA"/>
              </w:rPr>
              <w:t>Deliverables:</w:t>
            </w:r>
          </w:p>
          <w:p w14:paraId="28324953" w14:textId="34B5CDF6" w:rsidR="007E7F4E" w:rsidRPr="00C02F5C" w:rsidRDefault="00764160" w:rsidP="001A19BA">
            <w:pPr>
              <w:numPr>
                <w:ilvl w:val="0"/>
                <w:numId w:val="13"/>
              </w:numPr>
              <w:spacing w:after="240"/>
              <w:rPr>
                <w:rFonts w:cs="Arial"/>
                <w:szCs w:val="20"/>
                <w:lang w:val="en-CA"/>
              </w:rPr>
            </w:pPr>
            <w:r w:rsidRPr="00C02F5C">
              <w:rPr>
                <w:rFonts w:cs="Arial"/>
                <w:i/>
                <w:iCs/>
                <w:szCs w:val="20"/>
                <w:lang w:val="en-CA"/>
              </w:rPr>
              <w:t>Reimagine Learning in the Face of Crisis Workbook</w:t>
            </w:r>
          </w:p>
        </w:tc>
      </w:tr>
      <w:tr w:rsidR="007E7F4E" w:rsidRPr="00C02F5C" w14:paraId="23630E18" w14:textId="77777777" w:rsidTr="004F62F6">
        <w:trPr>
          <w:jc w:val="center"/>
        </w:trPr>
        <w:tc>
          <w:tcPr>
            <w:tcW w:w="2764" w:type="dxa"/>
            <w:tcMar>
              <w:top w:w="0" w:type="dxa"/>
              <w:left w:w="108" w:type="dxa"/>
              <w:bottom w:w="0" w:type="dxa"/>
              <w:right w:w="108" w:type="dxa"/>
            </w:tcMar>
          </w:tcPr>
          <w:p w14:paraId="58990EF7" w14:textId="53961D6C" w:rsidR="007E7F4E" w:rsidRPr="00C02F5C" w:rsidRDefault="007E7F4E" w:rsidP="00FC2970">
            <w:pPr>
              <w:rPr>
                <w:rFonts w:cs="Arial"/>
                <w:szCs w:val="20"/>
              </w:rPr>
            </w:pPr>
            <w:r w:rsidRPr="00C02F5C">
              <w:rPr>
                <w:rFonts w:cs="Arial"/>
                <w:szCs w:val="20"/>
              </w:rPr>
              <w:t xml:space="preserve">3. </w:t>
            </w:r>
            <w:r w:rsidR="00167856" w:rsidRPr="00C02F5C">
              <w:rPr>
                <w:rFonts w:cs="Arial"/>
                <w:szCs w:val="20"/>
              </w:rPr>
              <w:t>Transform</w:t>
            </w:r>
          </w:p>
        </w:tc>
        <w:tc>
          <w:tcPr>
            <w:tcW w:w="7721" w:type="dxa"/>
            <w:tcMar>
              <w:top w:w="0" w:type="dxa"/>
              <w:left w:w="108" w:type="dxa"/>
              <w:bottom w:w="0" w:type="dxa"/>
              <w:right w:w="108" w:type="dxa"/>
            </w:tcMar>
            <w:hideMark/>
          </w:tcPr>
          <w:p w14:paraId="20E4762A" w14:textId="4E52A6AA" w:rsidR="00B62660" w:rsidRPr="00C02F5C" w:rsidRDefault="00B62660" w:rsidP="00B62660">
            <w:pPr>
              <w:numPr>
                <w:ilvl w:val="0"/>
                <w:numId w:val="14"/>
              </w:numPr>
              <w:rPr>
                <w:rFonts w:cs="Arial"/>
                <w:szCs w:val="20"/>
                <w:lang w:val="en-CA"/>
              </w:rPr>
            </w:pPr>
            <w:r w:rsidRPr="00C02F5C">
              <w:rPr>
                <w:rFonts w:cs="Arial"/>
                <w:szCs w:val="20"/>
                <w:lang w:val="en-CA"/>
              </w:rPr>
              <w:t>Identify technical requirements for the chosen delivery method.</w:t>
            </w:r>
          </w:p>
          <w:p w14:paraId="760B7BDA" w14:textId="4FF8995E" w:rsidR="007E7F4E" w:rsidRPr="00C02F5C" w:rsidRDefault="00B62660" w:rsidP="001A19BA">
            <w:pPr>
              <w:numPr>
                <w:ilvl w:val="0"/>
                <w:numId w:val="14"/>
              </w:numPr>
              <w:spacing w:after="240"/>
              <w:rPr>
                <w:rFonts w:cs="Arial"/>
                <w:szCs w:val="20"/>
                <w:lang w:val="en-CA"/>
              </w:rPr>
            </w:pPr>
            <w:r w:rsidRPr="00C02F5C">
              <w:rPr>
                <w:rFonts w:cs="Arial"/>
                <w:szCs w:val="20"/>
                <w:lang w:val="en-CA"/>
              </w:rPr>
              <w:t>Draft a four</w:t>
            </w:r>
            <w:r w:rsidR="00B85D19">
              <w:rPr>
                <w:rFonts w:cs="Arial"/>
                <w:szCs w:val="20"/>
                <w:lang w:val="en-CA"/>
              </w:rPr>
              <w:t>-</w:t>
            </w:r>
            <w:r w:rsidRPr="00C02F5C">
              <w:rPr>
                <w:rFonts w:cs="Arial"/>
                <w:szCs w:val="20"/>
                <w:lang w:val="en-CA"/>
              </w:rPr>
              <w:t xml:space="preserve"> to six</w:t>
            </w:r>
            <w:r w:rsidR="00B85D19">
              <w:rPr>
                <w:rFonts w:cs="Arial"/>
                <w:szCs w:val="20"/>
                <w:lang w:val="en-CA"/>
              </w:rPr>
              <w:t>-</w:t>
            </w:r>
            <w:r w:rsidRPr="00C02F5C">
              <w:rPr>
                <w:rFonts w:cs="Arial"/>
                <w:szCs w:val="20"/>
                <w:lang w:val="en-CA"/>
              </w:rPr>
              <w:t>week action plan</w:t>
            </w:r>
            <w:r w:rsidR="007E7F4E" w:rsidRPr="00C02F5C">
              <w:rPr>
                <w:rFonts w:cs="Arial"/>
                <w:szCs w:val="20"/>
                <w:lang w:val="en-CA"/>
              </w:rPr>
              <w:t>.</w:t>
            </w:r>
          </w:p>
          <w:p w14:paraId="319B4A5D" w14:textId="77777777" w:rsidR="007E7F4E" w:rsidRPr="00C02F5C" w:rsidRDefault="007E7F4E" w:rsidP="00FC2970">
            <w:pPr>
              <w:rPr>
                <w:rFonts w:cs="Arial"/>
                <w:szCs w:val="20"/>
                <w:lang w:val="en-CA"/>
              </w:rPr>
            </w:pPr>
            <w:r w:rsidRPr="00C02F5C">
              <w:rPr>
                <w:rFonts w:cs="Arial"/>
                <w:b/>
                <w:bCs/>
                <w:szCs w:val="20"/>
                <w:lang w:val="en-CA"/>
              </w:rPr>
              <w:t>Deliverables:</w:t>
            </w:r>
          </w:p>
          <w:p w14:paraId="3DEFFCAA" w14:textId="77777777" w:rsidR="00396B81" w:rsidRPr="00C02F5C" w:rsidRDefault="00396B81" w:rsidP="00396B81">
            <w:pPr>
              <w:numPr>
                <w:ilvl w:val="0"/>
                <w:numId w:val="15"/>
              </w:numPr>
              <w:rPr>
                <w:rFonts w:cs="Arial"/>
                <w:i/>
                <w:iCs/>
                <w:szCs w:val="20"/>
                <w:lang w:val="en-CA"/>
              </w:rPr>
            </w:pPr>
            <w:r w:rsidRPr="00C02F5C">
              <w:rPr>
                <w:rFonts w:cs="Arial"/>
                <w:i/>
                <w:iCs/>
                <w:szCs w:val="20"/>
                <w:lang w:val="en-CA"/>
              </w:rPr>
              <w:t>How to Curate Guide</w:t>
            </w:r>
          </w:p>
          <w:p w14:paraId="3ABCD495" w14:textId="0311F685" w:rsidR="00396B81" w:rsidRPr="00C02F5C" w:rsidRDefault="00396B81" w:rsidP="00396B81">
            <w:pPr>
              <w:numPr>
                <w:ilvl w:val="0"/>
                <w:numId w:val="15"/>
              </w:numPr>
              <w:rPr>
                <w:rFonts w:cs="Arial"/>
                <w:i/>
                <w:iCs/>
                <w:szCs w:val="20"/>
                <w:lang w:val="en-CA"/>
              </w:rPr>
            </w:pPr>
            <w:r w:rsidRPr="00C02F5C">
              <w:rPr>
                <w:rFonts w:cs="Arial"/>
                <w:i/>
                <w:iCs/>
                <w:szCs w:val="20"/>
                <w:lang w:val="en-CA"/>
              </w:rPr>
              <w:t xml:space="preserve">Tips for Building an Online </w:t>
            </w:r>
            <w:r w:rsidR="001532D0" w:rsidRPr="00C02F5C">
              <w:rPr>
                <w:rFonts w:cs="Arial"/>
                <w:i/>
                <w:iCs/>
                <w:szCs w:val="20"/>
                <w:lang w:val="en-CA"/>
              </w:rPr>
              <w:t xml:space="preserve">Learning </w:t>
            </w:r>
            <w:r w:rsidRPr="00C02F5C">
              <w:rPr>
                <w:rFonts w:cs="Arial"/>
                <w:i/>
                <w:iCs/>
                <w:szCs w:val="20"/>
                <w:lang w:val="en-CA"/>
              </w:rPr>
              <w:t>Community</w:t>
            </w:r>
          </w:p>
          <w:p w14:paraId="79343543" w14:textId="7F2752CA" w:rsidR="00396B81" w:rsidRPr="00C02F5C" w:rsidRDefault="00B85D19" w:rsidP="00396B81">
            <w:pPr>
              <w:numPr>
                <w:ilvl w:val="0"/>
                <w:numId w:val="15"/>
              </w:numPr>
              <w:rPr>
                <w:rFonts w:cs="Arial"/>
                <w:i/>
                <w:iCs/>
                <w:szCs w:val="20"/>
                <w:lang w:val="en-CA"/>
              </w:rPr>
            </w:pPr>
            <w:r>
              <w:rPr>
                <w:rFonts w:cs="Arial"/>
                <w:i/>
                <w:iCs/>
                <w:szCs w:val="20"/>
                <w:lang w:val="en-CA"/>
              </w:rPr>
              <w:t>Ten</w:t>
            </w:r>
            <w:r w:rsidR="00396B81" w:rsidRPr="00C02F5C">
              <w:rPr>
                <w:rFonts w:cs="Arial"/>
                <w:i/>
                <w:iCs/>
                <w:szCs w:val="20"/>
                <w:lang w:val="en-CA"/>
              </w:rPr>
              <w:t xml:space="preserve"> Tips for Adapting In-Person Training During a Crisis</w:t>
            </w:r>
          </w:p>
          <w:p w14:paraId="62EC4313" w14:textId="77777777" w:rsidR="00396B81" w:rsidRPr="00C02F5C" w:rsidRDefault="00396B81" w:rsidP="00396B81">
            <w:pPr>
              <w:numPr>
                <w:ilvl w:val="0"/>
                <w:numId w:val="15"/>
              </w:numPr>
              <w:rPr>
                <w:rFonts w:cs="Arial"/>
                <w:i/>
                <w:iCs/>
                <w:szCs w:val="20"/>
                <w:lang w:val="en-CA"/>
              </w:rPr>
            </w:pPr>
            <w:r w:rsidRPr="00C02F5C">
              <w:rPr>
                <w:rFonts w:cs="Arial"/>
                <w:i/>
                <w:iCs/>
                <w:szCs w:val="20"/>
                <w:lang w:val="en-CA"/>
              </w:rPr>
              <w:t>Tips for Remote Learning in the Face of Crisis</w:t>
            </w:r>
          </w:p>
          <w:p w14:paraId="3BCC303B" w14:textId="1CD613EF" w:rsidR="007E7F4E" w:rsidRPr="00C02F5C" w:rsidRDefault="00396B81" w:rsidP="001A19BA">
            <w:pPr>
              <w:numPr>
                <w:ilvl w:val="0"/>
                <w:numId w:val="15"/>
              </w:numPr>
              <w:spacing w:after="240"/>
              <w:rPr>
                <w:rFonts w:cs="Arial"/>
                <w:szCs w:val="20"/>
                <w:lang w:val="en-CA"/>
              </w:rPr>
            </w:pPr>
            <w:r w:rsidRPr="00C02F5C">
              <w:rPr>
                <w:rFonts w:cs="Arial"/>
                <w:i/>
                <w:iCs/>
                <w:szCs w:val="20"/>
                <w:lang w:val="en-CA"/>
              </w:rPr>
              <w:t>Reimagine Learning in the Face of Crisis Workbook</w:t>
            </w:r>
          </w:p>
        </w:tc>
      </w:tr>
    </w:tbl>
    <w:p w14:paraId="0DA4A996" w14:textId="77777777" w:rsidR="00D75847" w:rsidRDefault="00D75847" w:rsidP="00BA7D52">
      <w:pPr>
        <w:jc w:val="center"/>
      </w:pPr>
    </w:p>
    <w:p w14:paraId="10C2E298" w14:textId="223D6728" w:rsidR="00D75847" w:rsidRDefault="00D75847" w:rsidP="00BA7D52">
      <w:pPr>
        <w:jc w:val="center"/>
      </w:pPr>
    </w:p>
    <w:p w14:paraId="28AB29D2" w14:textId="49703149" w:rsidR="004254CA" w:rsidRDefault="004254CA" w:rsidP="00BA7D52">
      <w:pPr>
        <w:jc w:val="center"/>
      </w:pPr>
    </w:p>
    <w:p w14:paraId="7B16B056" w14:textId="77777777" w:rsidR="00777EA3" w:rsidRDefault="00777EA3" w:rsidP="00BA7D52">
      <w:pPr>
        <w:jc w:val="center"/>
      </w:pPr>
    </w:p>
    <w:p w14:paraId="7EE39A93" w14:textId="77777777" w:rsidR="00777EA3" w:rsidRDefault="00777EA3" w:rsidP="00BA7D52">
      <w:pPr>
        <w:jc w:val="center"/>
      </w:pPr>
    </w:p>
    <w:p w14:paraId="701F88BF" w14:textId="77777777" w:rsidR="004254CA" w:rsidRDefault="004254CA" w:rsidP="00BA7D52">
      <w:pPr>
        <w:jc w:val="center"/>
      </w:pPr>
    </w:p>
    <w:p w14:paraId="51D5375B" w14:textId="010AA75A"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1"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2"/>
      <w:footerReference w:type="default" r:id="rId13"/>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D514" w14:textId="77777777" w:rsidR="009F1625" w:rsidRDefault="009F1625">
      <w:r>
        <w:separator/>
      </w:r>
    </w:p>
  </w:endnote>
  <w:endnote w:type="continuationSeparator" w:id="0">
    <w:p w14:paraId="4713D6A6" w14:textId="77777777" w:rsidR="009F1625" w:rsidRDefault="009F1625">
      <w:r>
        <w:continuationSeparator/>
      </w:r>
    </w:p>
  </w:endnote>
  <w:endnote w:type="continuationNotice" w:id="1">
    <w:p w14:paraId="31105CCD" w14:textId="77777777" w:rsidR="009F1625" w:rsidRDefault="009F16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68D5" w14:textId="77777777" w:rsidR="009F1625" w:rsidRDefault="009F1625">
      <w:r>
        <w:separator/>
      </w:r>
    </w:p>
  </w:footnote>
  <w:footnote w:type="continuationSeparator" w:id="0">
    <w:p w14:paraId="40C2976C" w14:textId="77777777" w:rsidR="009F1625" w:rsidRDefault="009F1625">
      <w:r>
        <w:continuationSeparator/>
      </w:r>
    </w:p>
  </w:footnote>
  <w:footnote w:type="continuationNotice" w:id="1">
    <w:p w14:paraId="6F0A6083" w14:textId="77777777" w:rsidR="009F1625" w:rsidRDefault="009F16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EA68" w14:textId="1D07B202" w:rsidR="00701BB0" w:rsidRPr="004D32EB" w:rsidRDefault="002344C3">
    <w:pPr>
      <w:pStyle w:val="Header"/>
      <w:rPr>
        <w:rFonts w:ascii="Arial Black" w:hAnsi="Arial Black"/>
        <w:color w:val="FFFFFF"/>
      </w:rPr>
    </w:pPr>
    <w:r>
      <w:rPr>
        <w:rFonts w:ascii="Arial Black" w:hAnsi="Arial Black"/>
        <w:noProof/>
        <w:color w:val="FFFFFF"/>
        <w:lang w:val="en-CA" w:eastAsia="en-CA"/>
      </w:rPr>
      <w:drawing>
        <wp:anchor distT="0" distB="0" distL="114300" distR="114300" simplePos="0" relativeHeight="251658240" behindDoc="1" locked="0" layoutInCell="1" allowOverlap="1" wp14:anchorId="09934992" wp14:editId="63BB21AC">
          <wp:simplePos x="0" y="0"/>
          <wp:positionH relativeFrom="column">
            <wp:posOffset>-638175</wp:posOffset>
          </wp:positionH>
          <wp:positionV relativeFrom="paragraph">
            <wp:posOffset>-381000</wp:posOffset>
          </wp:positionV>
          <wp:extent cx="9554845" cy="904875"/>
          <wp:effectExtent l="0" t="0" r="0" b="7620"/>
          <wp:wrapNone/>
          <wp:docPr id="4" name="Picture 1" descr="word-job_des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job_des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4845"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4"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1"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abstractNumId w:val="10"/>
  </w:num>
  <w:num w:numId="2">
    <w:abstractNumId w:val="18"/>
  </w:num>
  <w:num w:numId="3">
    <w:abstractNumId w:val="15"/>
  </w:num>
  <w:num w:numId="4">
    <w:abstractNumId w:val="2"/>
  </w:num>
  <w:num w:numId="5">
    <w:abstractNumId w:val="4"/>
  </w:num>
  <w:num w:numId="6">
    <w:abstractNumId w:val="21"/>
  </w:num>
  <w:num w:numId="7">
    <w:abstractNumId w:val="12"/>
  </w:num>
  <w:num w:numId="8">
    <w:abstractNumId w:val="19"/>
  </w:num>
  <w:num w:numId="9">
    <w:abstractNumId w:val="17"/>
  </w:num>
  <w:num w:numId="10">
    <w:abstractNumId w:val="1"/>
  </w:num>
  <w:num w:numId="11">
    <w:abstractNumId w:val="3"/>
  </w:num>
  <w:num w:numId="12">
    <w:abstractNumId w:val="13"/>
  </w:num>
  <w:num w:numId="13">
    <w:abstractNumId w:val="16"/>
  </w:num>
  <w:num w:numId="14">
    <w:abstractNumId w:val="11"/>
  </w:num>
  <w:num w:numId="15">
    <w:abstractNumId w:val="0"/>
  </w:num>
  <w:num w:numId="16">
    <w:abstractNumId w:val="5"/>
  </w:num>
  <w:num w:numId="17">
    <w:abstractNumId w:val="8"/>
  </w:num>
  <w:num w:numId="18">
    <w:abstractNumId w:val="20"/>
  </w:num>
  <w:num w:numId="19">
    <w:abstractNumId w:val="6"/>
  </w:num>
  <w:num w:numId="20">
    <w:abstractNumId w:val="14"/>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062A0"/>
    <w:rsid w:val="00026ACB"/>
    <w:rsid w:val="00033B26"/>
    <w:rsid w:val="00077963"/>
    <w:rsid w:val="000D63E7"/>
    <w:rsid w:val="00134035"/>
    <w:rsid w:val="00150238"/>
    <w:rsid w:val="001532D0"/>
    <w:rsid w:val="00167856"/>
    <w:rsid w:val="00186D07"/>
    <w:rsid w:val="001A19BA"/>
    <w:rsid w:val="001F431F"/>
    <w:rsid w:val="0020649A"/>
    <w:rsid w:val="00214693"/>
    <w:rsid w:val="00234116"/>
    <w:rsid w:val="002344C3"/>
    <w:rsid w:val="00253948"/>
    <w:rsid w:val="002C17B1"/>
    <w:rsid w:val="002C6A38"/>
    <w:rsid w:val="002D034A"/>
    <w:rsid w:val="002D5D73"/>
    <w:rsid w:val="003018D3"/>
    <w:rsid w:val="00331C67"/>
    <w:rsid w:val="00343D15"/>
    <w:rsid w:val="00352E33"/>
    <w:rsid w:val="00364660"/>
    <w:rsid w:val="003923BC"/>
    <w:rsid w:val="00396B81"/>
    <w:rsid w:val="003C222D"/>
    <w:rsid w:val="004069F4"/>
    <w:rsid w:val="004254CA"/>
    <w:rsid w:val="00455B7B"/>
    <w:rsid w:val="00486B78"/>
    <w:rsid w:val="00492F5D"/>
    <w:rsid w:val="004D32EB"/>
    <w:rsid w:val="004F45BE"/>
    <w:rsid w:val="004F57CC"/>
    <w:rsid w:val="004F62F6"/>
    <w:rsid w:val="00514649"/>
    <w:rsid w:val="005328F4"/>
    <w:rsid w:val="00547073"/>
    <w:rsid w:val="00575F6F"/>
    <w:rsid w:val="005C7852"/>
    <w:rsid w:val="0061655C"/>
    <w:rsid w:val="006B0CA8"/>
    <w:rsid w:val="00701BB0"/>
    <w:rsid w:val="007152EF"/>
    <w:rsid w:val="00715498"/>
    <w:rsid w:val="00764160"/>
    <w:rsid w:val="00775EA1"/>
    <w:rsid w:val="00777EA3"/>
    <w:rsid w:val="007E7F4E"/>
    <w:rsid w:val="00801B44"/>
    <w:rsid w:val="00803CE4"/>
    <w:rsid w:val="0081572D"/>
    <w:rsid w:val="00830085"/>
    <w:rsid w:val="008B4684"/>
    <w:rsid w:val="008B6398"/>
    <w:rsid w:val="008C5E54"/>
    <w:rsid w:val="008F5841"/>
    <w:rsid w:val="00923F3F"/>
    <w:rsid w:val="0096410E"/>
    <w:rsid w:val="009B450C"/>
    <w:rsid w:val="009F1625"/>
    <w:rsid w:val="00A761A0"/>
    <w:rsid w:val="00AC45C3"/>
    <w:rsid w:val="00B20449"/>
    <w:rsid w:val="00B62660"/>
    <w:rsid w:val="00B85D19"/>
    <w:rsid w:val="00BA7D52"/>
    <w:rsid w:val="00C02F5C"/>
    <w:rsid w:val="00C477D9"/>
    <w:rsid w:val="00C47B87"/>
    <w:rsid w:val="00C50C04"/>
    <w:rsid w:val="00C8415D"/>
    <w:rsid w:val="00CA08B6"/>
    <w:rsid w:val="00CA0EDC"/>
    <w:rsid w:val="00CB15B0"/>
    <w:rsid w:val="00D0516C"/>
    <w:rsid w:val="00D206DA"/>
    <w:rsid w:val="00D75847"/>
    <w:rsid w:val="00D8608E"/>
    <w:rsid w:val="00D92959"/>
    <w:rsid w:val="00D97422"/>
    <w:rsid w:val="00DB120E"/>
    <w:rsid w:val="00DC766F"/>
    <w:rsid w:val="00DF35DF"/>
    <w:rsid w:val="00EB3AA8"/>
    <w:rsid w:val="00EC4EB0"/>
    <w:rsid w:val="00EC6698"/>
    <w:rsid w:val="00F27DED"/>
    <w:rsid w:val="00F86E04"/>
    <w:rsid w:val="00F9338F"/>
    <w:rsid w:val="00FA3C12"/>
    <w:rsid w:val="00FC0A49"/>
    <w:rsid w:val="00FC2970"/>
    <w:rsid w:val="00FD286A"/>
    <w:rsid w:val="00FD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mcleanco.com/term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1829547D-0D05-41C0-8986-96AECEEE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Links>
    <vt:vector size="6" baseType="variant">
      <vt:variant>
        <vt:i4>1114142</vt:i4>
      </vt:variant>
      <vt:variant>
        <vt:i4>0</vt:i4>
      </vt:variant>
      <vt:variant>
        <vt:i4>0</vt:i4>
      </vt:variant>
      <vt:variant>
        <vt:i4>5</vt:i4>
      </vt:variant>
      <vt:variant>
        <vt:lpwstr>http://hr.mcleanco.com/terms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2020-04-14T15:52:00Z</dcterms:created>
  <dcterms:modified xsi:type="dcterms:W3CDTF">2020-04-14T15:52:00Z</dcterms:modified>
</cp:coreProperties>
</file>