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646C0C7F" w:rsidR="008B4684" w:rsidRPr="008D526F" w:rsidRDefault="00D65582" w:rsidP="004F62F6">
      <w:pPr>
        <w:pStyle w:val="Heading1"/>
      </w:pPr>
      <w:r w:rsidRPr="008D526F">
        <w:t>P</w:t>
      </w:r>
      <w:r w:rsidR="00070889" w:rsidRPr="008D526F">
        <w:t>r</w:t>
      </w:r>
      <w:r w:rsidRPr="008D526F">
        <w:t xml:space="preserve">epare for External Risks </w:t>
      </w:r>
      <w:r w:rsidR="0020649A" w:rsidRPr="008D526F">
        <w:t>Executive Briefing</w:t>
      </w:r>
    </w:p>
    <w:p w14:paraId="6D835752" w14:textId="31B2A4C7" w:rsidR="00150238" w:rsidRPr="008D526F" w:rsidRDefault="007152EF" w:rsidP="00FA02AC">
      <w:pPr>
        <w:pStyle w:val="Heading3"/>
        <w:rPr>
          <w:rFonts w:eastAsia="Calibri"/>
        </w:rPr>
      </w:pPr>
      <w:r w:rsidRPr="00FA02AC">
        <w:rPr>
          <w:rFonts w:eastAsia="Calibri"/>
        </w:rPr>
        <w:t>Summary</w:t>
      </w:r>
      <w:r w:rsidRPr="008D526F">
        <w:rPr>
          <w:rFonts w:eastAsia="Calibri"/>
        </w:rPr>
        <w:t xml:space="preserve"> </w:t>
      </w:r>
    </w:p>
    <w:p w14:paraId="7D02312E" w14:textId="1E1BD1BD" w:rsidR="007152EF" w:rsidRPr="00FA02AC" w:rsidRDefault="00B81B2C" w:rsidP="007152EF">
      <w:pPr>
        <w:rPr>
          <w:rFonts w:cs="Arial"/>
          <w:szCs w:val="20"/>
          <w:lang w:val="en-CA"/>
        </w:rPr>
      </w:pPr>
      <w:r w:rsidRPr="00FA02AC">
        <w:rPr>
          <w:rFonts w:eastAsia="Calibri" w:cs="Arial"/>
          <w:szCs w:val="20"/>
        </w:rPr>
        <w:t>In today’s volatile, uncertain, complex, and ambiguous (VUCA) environment, organizations face frequent vulnerability to external risks. Although talent is increasingly recognized as a crucial asset to organizations, the talent implications of external risks are rarely assessed. Moreover, organizations tend to be reactive to external risks</w:t>
      </w:r>
      <w:r w:rsidR="00396CED" w:rsidRPr="00FA02AC">
        <w:rPr>
          <w:rFonts w:eastAsia="Calibri" w:cs="Arial"/>
          <w:szCs w:val="20"/>
        </w:rPr>
        <w:t>,</w:t>
      </w:r>
      <w:r w:rsidRPr="00FA02AC">
        <w:rPr>
          <w:rFonts w:eastAsia="Calibri" w:cs="Arial"/>
          <w:szCs w:val="20"/>
        </w:rPr>
        <w:t xml:space="preserve"> which often leads to disproportionate consequences for talent.</w:t>
      </w:r>
    </w:p>
    <w:p w14:paraId="367DAAAC" w14:textId="69B20491" w:rsidR="007E7F4E" w:rsidRPr="008D526F" w:rsidRDefault="00801B44" w:rsidP="00FA02AC">
      <w:pPr>
        <w:pStyle w:val="Heading3"/>
        <w:rPr>
          <w:sz w:val="22"/>
          <w:szCs w:val="22"/>
        </w:rPr>
      </w:pPr>
      <w:r w:rsidRPr="008D526F">
        <w:t xml:space="preserve">Our </w:t>
      </w:r>
      <w:r w:rsidRPr="00FA02AC">
        <w:t>Recommendation</w:t>
      </w:r>
      <w:r w:rsidR="007E7F4E" w:rsidRPr="008D526F">
        <w:t xml:space="preserve"> </w:t>
      </w:r>
    </w:p>
    <w:p w14:paraId="0F5E197B" w14:textId="77777777" w:rsidR="0048070C" w:rsidRPr="00FA02AC" w:rsidRDefault="0048070C" w:rsidP="0048070C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A02AC">
        <w:rPr>
          <w:rFonts w:ascii="Arial" w:hAnsi="Arial" w:cs="Arial"/>
          <w:sz w:val="20"/>
          <w:szCs w:val="20"/>
        </w:rPr>
        <w:t>Conduct an environmental scan to identify and prioritize external risks according to their likelihood, impact, and HR relevance.</w:t>
      </w:r>
    </w:p>
    <w:p w14:paraId="28044DF0" w14:textId="77777777" w:rsidR="0048070C" w:rsidRPr="00FA02AC" w:rsidRDefault="0048070C" w:rsidP="0048070C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A02AC">
        <w:rPr>
          <w:rFonts w:ascii="Arial" w:hAnsi="Arial" w:cs="Arial"/>
          <w:sz w:val="20"/>
          <w:szCs w:val="20"/>
        </w:rPr>
        <w:t>Create scenarios to anticipate the talent implications of the prioritized risks.</w:t>
      </w:r>
    </w:p>
    <w:p w14:paraId="54C52FD6" w14:textId="414299C4" w:rsidR="007E7F4E" w:rsidRPr="00FA02AC" w:rsidRDefault="0048070C" w:rsidP="0048070C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A02AC">
        <w:rPr>
          <w:rFonts w:ascii="Arial" w:hAnsi="Arial" w:cs="Arial"/>
          <w:sz w:val="20"/>
          <w:szCs w:val="20"/>
        </w:rPr>
        <w:t>Identify HR initiatives that enable organizations to survive and thrive in a VUCA world with the use of three principles: proactive implementation, plan now for the future, and opportunity for growth.</w:t>
      </w:r>
    </w:p>
    <w:p w14:paraId="44026C07" w14:textId="22E3D432" w:rsidR="00150238" w:rsidRPr="008D526F" w:rsidRDefault="00150238" w:rsidP="00FA02AC">
      <w:pPr>
        <w:pStyle w:val="Heading3"/>
      </w:pPr>
      <w:r w:rsidRPr="00FA02AC">
        <w:t>Client</w:t>
      </w:r>
      <w:r w:rsidRPr="008D526F">
        <w:t xml:space="preserve"> Challenge </w:t>
      </w:r>
    </w:p>
    <w:p w14:paraId="6875C890" w14:textId="01BAFF08" w:rsidR="00B75113" w:rsidRPr="00FA02AC" w:rsidRDefault="00B75113" w:rsidP="00B75113">
      <w:pPr>
        <w:numPr>
          <w:ilvl w:val="0"/>
          <w:numId w:val="7"/>
        </w:numPr>
        <w:rPr>
          <w:rFonts w:eastAsia="Calibri" w:cs="Arial"/>
          <w:szCs w:val="20"/>
        </w:rPr>
      </w:pPr>
      <w:r w:rsidRPr="00FA02AC">
        <w:rPr>
          <w:rFonts w:eastAsia="Calibri" w:cs="Arial"/>
          <w:szCs w:val="20"/>
        </w:rPr>
        <w:t xml:space="preserve">Organizations focus on finding operational and financial solutions to external risks without evaluating how talent can be part of the solution. </w:t>
      </w:r>
      <w:r w:rsidR="00671937" w:rsidRPr="00FA02AC">
        <w:rPr>
          <w:rFonts w:eastAsia="Calibri" w:cs="Arial"/>
          <w:szCs w:val="20"/>
        </w:rPr>
        <w:t>When HR is not involved</w:t>
      </w:r>
      <w:r w:rsidRPr="00FA02AC">
        <w:rPr>
          <w:rFonts w:eastAsia="Calibri" w:cs="Arial"/>
          <w:szCs w:val="20"/>
        </w:rPr>
        <w:t xml:space="preserve"> early on, by the time the talent implications are apparent, the damage is already done.</w:t>
      </w:r>
    </w:p>
    <w:p w14:paraId="270587AE" w14:textId="74A3A05C" w:rsidR="00150238" w:rsidRPr="00FA02AC" w:rsidRDefault="00B75113" w:rsidP="00B75113">
      <w:pPr>
        <w:numPr>
          <w:ilvl w:val="0"/>
          <w:numId w:val="7"/>
        </w:numPr>
        <w:rPr>
          <w:rFonts w:eastAsia="Calibri" w:cs="Arial"/>
          <w:szCs w:val="20"/>
        </w:rPr>
      </w:pPr>
      <w:r w:rsidRPr="00FA02AC">
        <w:rPr>
          <w:rFonts w:eastAsia="Calibri" w:cs="Arial"/>
          <w:szCs w:val="20"/>
        </w:rPr>
        <w:t>This is further complicated by a VUCA climate where there is less time to rectify errors before organizational survival is threatened.</w:t>
      </w:r>
      <w:r w:rsidR="0061655C" w:rsidRPr="00FA02AC">
        <w:rPr>
          <w:rFonts w:eastAsia="Calibri" w:cs="Arial"/>
          <w:szCs w:val="20"/>
        </w:rPr>
        <w:t xml:space="preserve">  </w:t>
      </w:r>
      <w:r w:rsidR="00150238" w:rsidRPr="00FA02AC">
        <w:rPr>
          <w:rFonts w:eastAsia="Calibri" w:cs="Arial"/>
          <w:szCs w:val="20"/>
        </w:rPr>
        <w:t xml:space="preserve">  </w:t>
      </w:r>
    </w:p>
    <w:p w14:paraId="1A32E09A" w14:textId="688E0828" w:rsidR="00150238" w:rsidRPr="008D526F" w:rsidRDefault="00150238" w:rsidP="00FA02AC">
      <w:pPr>
        <w:pStyle w:val="Heading3"/>
        <w:rPr>
          <w:szCs w:val="20"/>
        </w:rPr>
      </w:pPr>
      <w:r w:rsidRPr="008D526F">
        <w:t>Critical Insight</w:t>
      </w:r>
      <w:r w:rsidRPr="008D526F">
        <w:rPr>
          <w:szCs w:val="20"/>
        </w:rPr>
        <w:t xml:space="preserve"> </w:t>
      </w:r>
    </w:p>
    <w:p w14:paraId="0796704F" w14:textId="0AB0ABBA" w:rsidR="00150238" w:rsidRPr="00FA02AC" w:rsidRDefault="00755C59" w:rsidP="00755C59">
      <w:pPr>
        <w:pStyle w:val="ListParagraph"/>
        <w:numPr>
          <w:ilvl w:val="0"/>
          <w:numId w:val="8"/>
        </w:numPr>
        <w:rPr>
          <w:rFonts w:eastAsia="Calibri" w:cs="Arial"/>
          <w:szCs w:val="20"/>
        </w:rPr>
      </w:pPr>
      <w:r w:rsidRPr="00FA02AC">
        <w:rPr>
          <w:rFonts w:eastAsia="Calibri" w:cs="Arial"/>
          <w:szCs w:val="20"/>
        </w:rPr>
        <w:t xml:space="preserve">Managing risks must go beyond maintaining the status quo. HR departments </w:t>
      </w:r>
      <w:r w:rsidR="000234A9" w:rsidRPr="00FA02AC">
        <w:rPr>
          <w:rFonts w:eastAsia="Calibri" w:cs="Arial"/>
          <w:szCs w:val="20"/>
        </w:rPr>
        <w:t>that</w:t>
      </w:r>
      <w:r w:rsidRPr="00FA02AC">
        <w:rPr>
          <w:rFonts w:eastAsia="Calibri" w:cs="Arial"/>
          <w:szCs w:val="20"/>
        </w:rPr>
        <w:t xml:space="preserve"> anticipate and proactively plan for the talent implications of external risks not only survive but thrive through challenging times.</w:t>
      </w:r>
    </w:p>
    <w:p w14:paraId="43012910" w14:textId="185198F6" w:rsidR="0048070C" w:rsidRPr="0048070C" w:rsidRDefault="0048070C" w:rsidP="0048070C">
      <w:pPr>
        <w:rPr>
          <w:rFonts w:eastAsia="Calibri" w:cs="Arial"/>
          <w:color w:val="5B9BD5" w:themeColor="accent1"/>
          <w:sz w:val="22"/>
          <w:szCs w:val="22"/>
        </w:rPr>
      </w:pPr>
    </w:p>
    <w:p w14:paraId="4B6566FB" w14:textId="72878CBD" w:rsidR="007E7F4E" w:rsidRPr="007E7F4E" w:rsidRDefault="00DA37F8" w:rsidP="00FA02AC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12599" wp14:editId="1C467082">
            <wp:simplePos x="0" y="0"/>
            <wp:positionH relativeFrom="margin">
              <wp:align>center</wp:align>
            </wp:positionH>
            <wp:positionV relativeFrom="paragraph">
              <wp:posOffset>101517</wp:posOffset>
            </wp:positionV>
            <wp:extent cx="5125149" cy="2190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149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2EF"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FA02AC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0D2A8A67" w:rsidR="007E7F4E" w:rsidRPr="00FA02AC" w:rsidRDefault="007E7F4E" w:rsidP="00421D70">
            <w:pPr>
              <w:rPr>
                <w:rFonts w:cs="Arial"/>
                <w:szCs w:val="20"/>
              </w:rPr>
            </w:pPr>
            <w:r w:rsidRPr="00FA02AC">
              <w:rPr>
                <w:rFonts w:cs="Arial"/>
                <w:szCs w:val="20"/>
              </w:rPr>
              <w:t xml:space="preserve">1. </w:t>
            </w:r>
            <w:r w:rsidR="002504E5" w:rsidRPr="00FA02AC">
              <w:rPr>
                <w:rFonts w:cs="Arial"/>
                <w:szCs w:val="20"/>
              </w:rPr>
              <w:t xml:space="preserve">Conduct an </w:t>
            </w:r>
            <w:r w:rsidR="00773FE6" w:rsidRPr="00FA02AC">
              <w:rPr>
                <w:rFonts w:cs="Arial"/>
                <w:szCs w:val="20"/>
              </w:rPr>
              <w:t>e</w:t>
            </w:r>
            <w:r w:rsidR="002504E5" w:rsidRPr="00FA02AC">
              <w:rPr>
                <w:rFonts w:cs="Arial"/>
                <w:szCs w:val="20"/>
              </w:rPr>
              <w:t xml:space="preserve">nvironmental </w:t>
            </w:r>
            <w:r w:rsidR="00773FE6" w:rsidRPr="00FA02AC">
              <w:rPr>
                <w:rFonts w:cs="Arial"/>
                <w:szCs w:val="20"/>
              </w:rPr>
              <w:t>s</w:t>
            </w:r>
            <w:r w:rsidR="002504E5" w:rsidRPr="00FA02AC">
              <w:rPr>
                <w:rFonts w:cs="Arial"/>
                <w:szCs w:val="20"/>
              </w:rPr>
              <w:t>can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F78E" w14:textId="269ADB60" w:rsidR="009C45F7" w:rsidRPr="00FA02AC" w:rsidRDefault="009C45F7" w:rsidP="009C45F7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FA02AC">
              <w:rPr>
                <w:rFonts w:cs="Arial"/>
                <w:szCs w:val="20"/>
                <w:shd w:val="clear" w:color="auto" w:fill="FFFFFF"/>
                <w:lang w:val="en-CA"/>
              </w:rPr>
              <w:t>Gather information on the organization’s context.</w:t>
            </w:r>
          </w:p>
          <w:p w14:paraId="4F6CFA19" w14:textId="050C563F" w:rsidR="009C45F7" w:rsidRPr="00FA02AC" w:rsidRDefault="009C45F7" w:rsidP="009C45F7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FA02AC">
              <w:rPr>
                <w:rFonts w:cs="Arial"/>
                <w:szCs w:val="20"/>
                <w:shd w:val="clear" w:color="auto" w:fill="FFFFFF"/>
                <w:lang w:val="en-CA"/>
              </w:rPr>
              <w:t>Conduct an environmental scan.</w:t>
            </w:r>
          </w:p>
          <w:p w14:paraId="5365C206" w14:textId="45555BC5" w:rsidR="009C45F7" w:rsidRPr="00FA02AC" w:rsidRDefault="009C45F7" w:rsidP="009C45F7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FA02AC">
              <w:rPr>
                <w:rFonts w:cs="Arial"/>
                <w:szCs w:val="20"/>
                <w:shd w:val="clear" w:color="auto" w:fill="FFFFFF"/>
                <w:lang w:val="en-CA"/>
              </w:rPr>
              <w:t>Prioritize external risks.</w:t>
            </w:r>
          </w:p>
          <w:p w14:paraId="2D413A71" w14:textId="3C48E429" w:rsidR="007E7F4E" w:rsidRPr="00FA02AC" w:rsidRDefault="007E7F4E" w:rsidP="00A369A9">
            <w:pPr>
              <w:spacing w:before="12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FA02AC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474ACBEF" w14:textId="77777777" w:rsidR="00B60B90" w:rsidRPr="00FA02AC" w:rsidRDefault="00B60B90" w:rsidP="00B60B90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A02AC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Standard Project Charter</w:t>
            </w:r>
          </w:p>
          <w:p w14:paraId="1B7E5A4E" w14:textId="77777777" w:rsidR="00B60B90" w:rsidRPr="00FA02AC" w:rsidRDefault="00B60B90" w:rsidP="00B60B90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A02AC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External Risks Workbook</w:t>
            </w:r>
          </w:p>
          <w:p w14:paraId="595B2AF1" w14:textId="77777777" w:rsidR="00B60B90" w:rsidRPr="00FA02AC" w:rsidRDefault="00B60B90" w:rsidP="00B60B90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FA02AC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Strategy Exploration Guide</w:t>
            </w:r>
          </w:p>
          <w:p w14:paraId="0A1AFD94" w14:textId="198B39C4" w:rsidR="007E7F4E" w:rsidRPr="00FA02AC" w:rsidRDefault="00B60B90" w:rsidP="00A369A9">
            <w:pPr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szCs w:val="20"/>
              </w:rPr>
            </w:pPr>
            <w:r w:rsidRPr="00FA02AC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Case Studies: Prepare for External Risks</w:t>
            </w:r>
          </w:p>
        </w:tc>
      </w:tr>
      <w:tr w:rsidR="007E7F4E" w:rsidRPr="00FA02AC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40BFA8F3" w:rsidR="007E7F4E" w:rsidRPr="00FA02AC" w:rsidRDefault="007E7F4E" w:rsidP="00421D70">
            <w:pPr>
              <w:rPr>
                <w:rFonts w:cs="Arial"/>
                <w:szCs w:val="20"/>
              </w:rPr>
            </w:pPr>
            <w:r w:rsidRPr="00FA02AC">
              <w:rPr>
                <w:rFonts w:cs="Arial"/>
                <w:szCs w:val="20"/>
              </w:rPr>
              <w:t xml:space="preserve">2. </w:t>
            </w:r>
            <w:r w:rsidR="00CC4FED" w:rsidRPr="00FA02AC">
              <w:rPr>
                <w:rFonts w:cs="Arial"/>
                <w:szCs w:val="20"/>
              </w:rPr>
              <w:t xml:space="preserve">Create </w:t>
            </w:r>
            <w:r w:rsidR="00773FE6" w:rsidRPr="00FA02AC">
              <w:rPr>
                <w:rFonts w:cs="Arial"/>
                <w:szCs w:val="20"/>
              </w:rPr>
              <w:t>e</w:t>
            </w:r>
            <w:r w:rsidR="00CC4FED" w:rsidRPr="00FA02AC">
              <w:rPr>
                <w:rFonts w:cs="Arial"/>
                <w:szCs w:val="20"/>
              </w:rPr>
              <w:t xml:space="preserve">xternal </w:t>
            </w:r>
            <w:r w:rsidR="00773FE6" w:rsidRPr="00FA02AC">
              <w:rPr>
                <w:rFonts w:cs="Arial"/>
                <w:szCs w:val="20"/>
              </w:rPr>
              <w:t>r</w:t>
            </w:r>
            <w:r w:rsidR="00CC4FED" w:rsidRPr="00FA02AC">
              <w:rPr>
                <w:rFonts w:cs="Arial"/>
                <w:szCs w:val="20"/>
              </w:rPr>
              <w:t xml:space="preserve">isk </w:t>
            </w:r>
            <w:r w:rsidR="00773FE6" w:rsidRPr="00FA02AC">
              <w:rPr>
                <w:rFonts w:cs="Arial"/>
                <w:szCs w:val="20"/>
              </w:rPr>
              <w:t>s</w:t>
            </w:r>
            <w:r w:rsidR="00CC4FED" w:rsidRPr="00FA02AC">
              <w:rPr>
                <w:rFonts w:cs="Arial"/>
                <w:szCs w:val="20"/>
              </w:rPr>
              <w:t>cenarios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E9D4" w14:textId="76AE66D6" w:rsidR="002D2DC4" w:rsidRPr="00FA02AC" w:rsidRDefault="002D2DC4" w:rsidP="002D2DC4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FA02AC">
              <w:rPr>
                <w:rFonts w:cs="Arial"/>
                <w:szCs w:val="20"/>
                <w:lang w:val="en-CA"/>
              </w:rPr>
              <w:t>Determine the scope of scenario planning.</w:t>
            </w:r>
          </w:p>
          <w:p w14:paraId="73021146" w14:textId="44F9BB3A" w:rsidR="002D2DC4" w:rsidRPr="00FA02AC" w:rsidRDefault="002D2DC4" w:rsidP="002D2DC4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FA02AC">
              <w:rPr>
                <w:rFonts w:cs="Arial"/>
                <w:szCs w:val="20"/>
                <w:lang w:val="en-CA"/>
              </w:rPr>
              <w:t>Identif</w:t>
            </w:r>
            <w:r w:rsidR="00AD5897" w:rsidRPr="00FA02AC">
              <w:rPr>
                <w:rFonts w:cs="Arial"/>
                <w:szCs w:val="20"/>
                <w:lang w:val="en-CA"/>
              </w:rPr>
              <w:t>y</w:t>
            </w:r>
            <w:r w:rsidRPr="00FA02AC">
              <w:rPr>
                <w:rFonts w:cs="Arial"/>
                <w:szCs w:val="20"/>
                <w:lang w:val="en-CA"/>
              </w:rPr>
              <w:t xml:space="preserve"> assumptions and uncertainties about each prioritized risk.  </w:t>
            </w:r>
          </w:p>
          <w:p w14:paraId="59880DE1" w14:textId="300963A3" w:rsidR="002D2DC4" w:rsidRPr="00FA02AC" w:rsidRDefault="002D2DC4" w:rsidP="002D2DC4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FA02AC">
              <w:rPr>
                <w:rFonts w:cs="Arial"/>
                <w:szCs w:val="20"/>
                <w:lang w:val="en-CA"/>
              </w:rPr>
              <w:t>Buil</w:t>
            </w:r>
            <w:r w:rsidR="00AD5897" w:rsidRPr="00FA02AC">
              <w:rPr>
                <w:rFonts w:cs="Arial"/>
                <w:szCs w:val="20"/>
                <w:lang w:val="en-CA"/>
              </w:rPr>
              <w:t>d</w:t>
            </w:r>
            <w:r w:rsidRPr="00FA02AC">
              <w:rPr>
                <w:rFonts w:cs="Arial"/>
                <w:szCs w:val="20"/>
                <w:lang w:val="en-CA"/>
              </w:rPr>
              <w:t xml:space="preserve"> scenarios for each prioritized risk.</w:t>
            </w:r>
          </w:p>
          <w:p w14:paraId="1BBFCD43" w14:textId="57D340D9" w:rsidR="007E7F4E" w:rsidRPr="00FA02AC" w:rsidRDefault="002D2DC4" w:rsidP="00A369A9">
            <w:pPr>
              <w:spacing w:before="120"/>
              <w:rPr>
                <w:rFonts w:cs="Arial"/>
                <w:szCs w:val="20"/>
                <w:lang w:val="en-CA"/>
              </w:rPr>
            </w:pPr>
            <w:r w:rsidRPr="00FA02AC">
              <w:rPr>
                <w:rFonts w:cs="Arial"/>
                <w:b/>
                <w:bCs/>
                <w:szCs w:val="20"/>
                <w:lang w:val="en-CA"/>
              </w:rPr>
              <w:t>D</w:t>
            </w:r>
            <w:r w:rsidR="007E7F4E" w:rsidRPr="00FA02AC">
              <w:rPr>
                <w:rFonts w:cs="Arial"/>
                <w:b/>
                <w:bCs/>
                <w:szCs w:val="20"/>
                <w:lang w:val="en-CA"/>
              </w:rPr>
              <w:t>eliverables:</w:t>
            </w:r>
          </w:p>
          <w:p w14:paraId="28324953" w14:textId="5A93A1F2" w:rsidR="007E7F4E" w:rsidRPr="00FA02AC" w:rsidRDefault="00D3279A" w:rsidP="00A369A9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cs="Arial"/>
                <w:szCs w:val="20"/>
                <w:lang w:val="en-CA"/>
              </w:rPr>
            </w:pPr>
            <w:r w:rsidRPr="00FA02AC">
              <w:rPr>
                <w:rFonts w:cs="Arial"/>
                <w:i/>
                <w:iCs/>
                <w:szCs w:val="20"/>
                <w:lang w:val="en-CA"/>
              </w:rPr>
              <w:t>External Risks Workbook</w:t>
            </w:r>
          </w:p>
        </w:tc>
      </w:tr>
      <w:tr w:rsidR="007E7F4E" w:rsidRPr="00FA02AC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7B0D5B7F" w:rsidR="007E7F4E" w:rsidRPr="00FA02AC" w:rsidRDefault="007E7F4E" w:rsidP="00421D70">
            <w:pPr>
              <w:rPr>
                <w:rFonts w:cs="Arial"/>
                <w:szCs w:val="20"/>
              </w:rPr>
            </w:pPr>
            <w:r w:rsidRPr="00FA02AC">
              <w:rPr>
                <w:rFonts w:cs="Arial"/>
                <w:szCs w:val="20"/>
              </w:rPr>
              <w:t xml:space="preserve">3. </w:t>
            </w:r>
            <w:r w:rsidR="00001F3F" w:rsidRPr="00FA02AC">
              <w:rPr>
                <w:rFonts w:cs="Arial"/>
                <w:szCs w:val="20"/>
              </w:rPr>
              <w:t xml:space="preserve">Identify HR </w:t>
            </w:r>
            <w:r w:rsidR="00773FE6" w:rsidRPr="00FA02AC">
              <w:rPr>
                <w:rFonts w:cs="Arial"/>
                <w:szCs w:val="20"/>
              </w:rPr>
              <w:t>i</w:t>
            </w:r>
            <w:r w:rsidR="00001F3F" w:rsidRPr="00FA02AC">
              <w:rPr>
                <w:rFonts w:cs="Arial"/>
                <w:szCs w:val="20"/>
              </w:rPr>
              <w:t>nitiatives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12C0" w14:textId="734029D2" w:rsidR="004D027B" w:rsidRPr="00FA02AC" w:rsidRDefault="004D027B" w:rsidP="004D027B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FA02AC">
              <w:rPr>
                <w:rFonts w:cs="Arial"/>
                <w:szCs w:val="20"/>
                <w:lang w:val="en-CA"/>
              </w:rPr>
              <w:t xml:space="preserve">Define talent implications from each risk scenario. </w:t>
            </w:r>
          </w:p>
          <w:p w14:paraId="5C15271D" w14:textId="7F9153AC" w:rsidR="004D027B" w:rsidRPr="00FA02AC" w:rsidRDefault="004D027B" w:rsidP="004D027B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FA02AC">
              <w:rPr>
                <w:rFonts w:cs="Arial"/>
                <w:szCs w:val="20"/>
                <w:lang w:val="en-CA"/>
              </w:rPr>
              <w:t xml:space="preserve">Determine HR initiatives to address the talent implications. </w:t>
            </w:r>
          </w:p>
          <w:p w14:paraId="328A7BCC" w14:textId="0543ED64" w:rsidR="004D027B" w:rsidRPr="00FA02AC" w:rsidRDefault="004D027B" w:rsidP="004D027B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FA02AC">
              <w:rPr>
                <w:rFonts w:cs="Arial"/>
                <w:szCs w:val="20"/>
                <w:lang w:val="en-CA"/>
              </w:rPr>
              <w:t xml:space="preserve">Prioritize HR initiatives against existing programs. </w:t>
            </w:r>
          </w:p>
          <w:p w14:paraId="63019273" w14:textId="77777777" w:rsidR="00A369A9" w:rsidRPr="00FA02AC" w:rsidRDefault="004D027B" w:rsidP="00F7733E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FA02AC">
              <w:rPr>
                <w:rFonts w:cs="Arial"/>
                <w:szCs w:val="20"/>
                <w:lang w:val="en-CA"/>
              </w:rPr>
              <w:t>Present recommendations to the board.</w:t>
            </w:r>
          </w:p>
          <w:p w14:paraId="319B4A5D" w14:textId="1720DE6C" w:rsidR="007E7F4E" w:rsidRPr="00FA02AC" w:rsidRDefault="007E7F4E" w:rsidP="00A369A9">
            <w:pPr>
              <w:spacing w:before="120"/>
              <w:rPr>
                <w:rFonts w:cs="Arial"/>
                <w:szCs w:val="20"/>
                <w:lang w:val="en-CA"/>
              </w:rPr>
            </w:pPr>
            <w:r w:rsidRPr="00FA02AC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52CDDAFD" w14:textId="77777777" w:rsidR="00F2290E" w:rsidRPr="00FA02AC" w:rsidRDefault="00F2290E" w:rsidP="00F2290E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FA02AC">
              <w:rPr>
                <w:rFonts w:cs="Arial"/>
                <w:i/>
                <w:iCs/>
                <w:szCs w:val="20"/>
                <w:lang w:val="en-CA"/>
              </w:rPr>
              <w:t>External Risks Workbook</w:t>
            </w:r>
          </w:p>
          <w:p w14:paraId="19C80D1B" w14:textId="77777777" w:rsidR="00C461D5" w:rsidRPr="00FA02AC" w:rsidRDefault="00306D38" w:rsidP="00EB23E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FA02AC">
              <w:rPr>
                <w:rFonts w:cs="Arial"/>
                <w:i/>
                <w:iCs/>
                <w:szCs w:val="20"/>
                <w:lang w:val="en-CA"/>
              </w:rPr>
              <w:t>Prepare for External Risks: HR Initiatives Catalog</w:t>
            </w:r>
            <w:r w:rsidR="00C461D5" w:rsidRPr="00FA02AC">
              <w:rPr>
                <w:rFonts w:cs="Arial"/>
                <w:i/>
                <w:iCs/>
                <w:szCs w:val="20"/>
                <w:lang w:val="en-CA"/>
              </w:rPr>
              <w:t xml:space="preserve"> </w:t>
            </w:r>
          </w:p>
          <w:p w14:paraId="2ADF0440" w14:textId="187D4B8D" w:rsidR="00F2290E" w:rsidRPr="00FA02AC" w:rsidRDefault="00F2290E" w:rsidP="00EB23E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FA02AC">
              <w:rPr>
                <w:rFonts w:cs="Arial"/>
                <w:i/>
                <w:iCs/>
                <w:szCs w:val="20"/>
                <w:lang w:val="en-CA"/>
              </w:rPr>
              <w:t>HR Action and Communication Plan</w:t>
            </w:r>
          </w:p>
          <w:p w14:paraId="48B2C791" w14:textId="77777777" w:rsidR="00F2290E" w:rsidRPr="00FA02AC" w:rsidRDefault="00F2290E" w:rsidP="00F2290E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FA02AC">
              <w:rPr>
                <w:rFonts w:cs="Arial"/>
                <w:i/>
                <w:iCs/>
                <w:szCs w:val="20"/>
                <w:lang w:val="en-CA"/>
              </w:rPr>
              <w:t>HR Metrics Library</w:t>
            </w:r>
          </w:p>
          <w:p w14:paraId="3BCC303B" w14:textId="662FCDA2" w:rsidR="007E7F4E" w:rsidRPr="00FA02AC" w:rsidRDefault="00434ACB" w:rsidP="00A369A9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cs="Arial"/>
                <w:szCs w:val="20"/>
                <w:lang w:val="en-CA"/>
              </w:rPr>
            </w:pPr>
            <w:r w:rsidRPr="00FA02AC">
              <w:rPr>
                <w:rFonts w:cs="Arial"/>
                <w:i/>
                <w:iCs/>
                <w:szCs w:val="20"/>
                <w:lang w:val="en-CA"/>
              </w:rPr>
              <w:t xml:space="preserve">Prepare for </w:t>
            </w:r>
            <w:r w:rsidR="00F2290E" w:rsidRPr="00FA02AC">
              <w:rPr>
                <w:rFonts w:cs="Arial"/>
                <w:i/>
                <w:iCs/>
                <w:szCs w:val="20"/>
                <w:lang w:val="en-CA"/>
              </w:rPr>
              <w:t>External Risks Presentation Template</w:t>
            </w:r>
            <w:r w:rsidR="00323290" w:rsidRPr="00FA02AC">
              <w:rPr>
                <w:rFonts w:cs="Arial"/>
                <w:i/>
                <w:iCs/>
                <w:szCs w:val="20"/>
                <w:lang w:val="en-CA"/>
              </w:rPr>
              <w:t xml:space="preserve"> </w:t>
            </w:r>
          </w:p>
        </w:tc>
      </w:tr>
    </w:tbl>
    <w:p w14:paraId="6D225151" w14:textId="77777777" w:rsidR="00D655EF" w:rsidRDefault="00D655EF" w:rsidP="00BA7D52">
      <w:pPr>
        <w:jc w:val="center"/>
      </w:pPr>
    </w:p>
    <w:p w14:paraId="2103DB96" w14:textId="2E1D04D3" w:rsidR="00D655EF" w:rsidRDefault="00D655EF" w:rsidP="00BA7D52">
      <w:pPr>
        <w:jc w:val="center"/>
      </w:pPr>
    </w:p>
    <w:p w14:paraId="2A4EE6CC" w14:textId="2FF8F946" w:rsidR="00A369A9" w:rsidRDefault="00A369A9" w:rsidP="00BA7D52">
      <w:pPr>
        <w:jc w:val="center"/>
      </w:pPr>
    </w:p>
    <w:p w14:paraId="7D7FD21C" w14:textId="77777777" w:rsidR="00A369A9" w:rsidRDefault="00A369A9" w:rsidP="00BA7D52">
      <w:pPr>
        <w:jc w:val="center"/>
      </w:pPr>
    </w:p>
    <w:p w14:paraId="51D5375B" w14:textId="589681F1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1540" w14:textId="77777777" w:rsidR="00F23E09" w:rsidRDefault="00F23E09">
      <w:r>
        <w:separator/>
      </w:r>
    </w:p>
  </w:endnote>
  <w:endnote w:type="continuationSeparator" w:id="0">
    <w:p w14:paraId="1CAC56E1" w14:textId="77777777" w:rsidR="00F23E09" w:rsidRDefault="00F2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B7F1" w14:textId="77777777" w:rsidR="00F23E09" w:rsidRDefault="00F23E09">
      <w:r>
        <w:separator/>
      </w:r>
    </w:p>
  </w:footnote>
  <w:footnote w:type="continuationSeparator" w:id="0">
    <w:p w14:paraId="6EC5A3C4" w14:textId="77777777" w:rsidR="00F23E09" w:rsidRDefault="00F2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6EA67769" w:rsidR="00701BB0" w:rsidRPr="004D32EB" w:rsidRDefault="00C54290">
    <w:pPr>
      <w:pStyle w:val="Header"/>
      <w:rPr>
        <w:rFonts w:ascii="Arial Black" w:hAnsi="Arial Black"/>
        <w:color w:val="FFFFFF"/>
      </w:rPr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033FE6A4" wp14:editId="457FDFD8">
          <wp:simplePos x="0" y="0"/>
          <wp:positionH relativeFrom="margin">
            <wp:posOffset>-636270</wp:posOffset>
          </wp:positionH>
          <wp:positionV relativeFrom="page">
            <wp:posOffset>-12700</wp:posOffset>
          </wp:positionV>
          <wp:extent cx="7808400" cy="993600"/>
          <wp:effectExtent l="0" t="0" r="2540" b="0"/>
          <wp:wrapSquare wrapText="bothSides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7808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4C3"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7775298">
    <w:abstractNumId w:val="10"/>
  </w:num>
  <w:num w:numId="2" w16cid:durableId="1941913091">
    <w:abstractNumId w:val="18"/>
  </w:num>
  <w:num w:numId="3" w16cid:durableId="1649237947">
    <w:abstractNumId w:val="15"/>
  </w:num>
  <w:num w:numId="4" w16cid:durableId="268509601">
    <w:abstractNumId w:val="2"/>
  </w:num>
  <w:num w:numId="5" w16cid:durableId="1008170305">
    <w:abstractNumId w:val="4"/>
  </w:num>
  <w:num w:numId="6" w16cid:durableId="1034966732">
    <w:abstractNumId w:val="21"/>
  </w:num>
  <w:num w:numId="7" w16cid:durableId="1837500077">
    <w:abstractNumId w:val="12"/>
  </w:num>
  <w:num w:numId="8" w16cid:durableId="1760255994">
    <w:abstractNumId w:val="19"/>
  </w:num>
  <w:num w:numId="9" w16cid:durableId="674499161">
    <w:abstractNumId w:val="17"/>
  </w:num>
  <w:num w:numId="10" w16cid:durableId="1708024970">
    <w:abstractNumId w:val="1"/>
  </w:num>
  <w:num w:numId="11" w16cid:durableId="691302273">
    <w:abstractNumId w:val="3"/>
  </w:num>
  <w:num w:numId="12" w16cid:durableId="1565406297">
    <w:abstractNumId w:val="13"/>
  </w:num>
  <w:num w:numId="13" w16cid:durableId="976686818">
    <w:abstractNumId w:val="16"/>
  </w:num>
  <w:num w:numId="14" w16cid:durableId="456338147">
    <w:abstractNumId w:val="11"/>
  </w:num>
  <w:num w:numId="15" w16cid:durableId="1417089317">
    <w:abstractNumId w:val="0"/>
  </w:num>
  <w:num w:numId="16" w16cid:durableId="1238323121">
    <w:abstractNumId w:val="5"/>
  </w:num>
  <w:num w:numId="17" w16cid:durableId="1035731794">
    <w:abstractNumId w:val="8"/>
  </w:num>
  <w:num w:numId="18" w16cid:durableId="148668213">
    <w:abstractNumId w:val="20"/>
  </w:num>
  <w:num w:numId="19" w16cid:durableId="1407410623">
    <w:abstractNumId w:val="6"/>
  </w:num>
  <w:num w:numId="20" w16cid:durableId="1723946684">
    <w:abstractNumId w:val="14"/>
  </w:num>
  <w:num w:numId="21" w16cid:durableId="1046562352">
    <w:abstractNumId w:val="7"/>
  </w:num>
  <w:num w:numId="22" w16cid:durableId="1014263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01F3F"/>
    <w:rsid w:val="000234A9"/>
    <w:rsid w:val="00026ACB"/>
    <w:rsid w:val="00033B26"/>
    <w:rsid w:val="00070889"/>
    <w:rsid w:val="00077963"/>
    <w:rsid w:val="000A1784"/>
    <w:rsid w:val="000D63E7"/>
    <w:rsid w:val="00134035"/>
    <w:rsid w:val="00150238"/>
    <w:rsid w:val="00173C9C"/>
    <w:rsid w:val="00186D07"/>
    <w:rsid w:val="001F431F"/>
    <w:rsid w:val="0020649A"/>
    <w:rsid w:val="00234116"/>
    <w:rsid w:val="002344C3"/>
    <w:rsid w:val="002401E8"/>
    <w:rsid w:val="002504E5"/>
    <w:rsid w:val="0025142B"/>
    <w:rsid w:val="00253948"/>
    <w:rsid w:val="002C17B1"/>
    <w:rsid w:val="002C6A38"/>
    <w:rsid w:val="002D034A"/>
    <w:rsid w:val="002D2DC4"/>
    <w:rsid w:val="003018D3"/>
    <w:rsid w:val="00306D38"/>
    <w:rsid w:val="00323290"/>
    <w:rsid w:val="00343D15"/>
    <w:rsid w:val="00364660"/>
    <w:rsid w:val="00396CED"/>
    <w:rsid w:val="0040233F"/>
    <w:rsid w:val="004069F4"/>
    <w:rsid w:val="00434ACB"/>
    <w:rsid w:val="00455B7B"/>
    <w:rsid w:val="00472523"/>
    <w:rsid w:val="0048070C"/>
    <w:rsid w:val="00486B78"/>
    <w:rsid w:val="00492F5D"/>
    <w:rsid w:val="004D027B"/>
    <w:rsid w:val="004D32EB"/>
    <w:rsid w:val="004F57CC"/>
    <w:rsid w:val="004F62F6"/>
    <w:rsid w:val="00514649"/>
    <w:rsid w:val="005328F4"/>
    <w:rsid w:val="005C7852"/>
    <w:rsid w:val="0060116B"/>
    <w:rsid w:val="0061655C"/>
    <w:rsid w:val="00671937"/>
    <w:rsid w:val="006B0CA8"/>
    <w:rsid w:val="00701BB0"/>
    <w:rsid w:val="007152EF"/>
    <w:rsid w:val="00715498"/>
    <w:rsid w:val="00755C59"/>
    <w:rsid w:val="00773FE6"/>
    <w:rsid w:val="00775EA1"/>
    <w:rsid w:val="007E7F4E"/>
    <w:rsid w:val="00801B44"/>
    <w:rsid w:val="00803CE4"/>
    <w:rsid w:val="0081572D"/>
    <w:rsid w:val="00830085"/>
    <w:rsid w:val="00894817"/>
    <w:rsid w:val="008A1C7C"/>
    <w:rsid w:val="008B4684"/>
    <w:rsid w:val="008B6398"/>
    <w:rsid w:val="008C5E54"/>
    <w:rsid w:val="008D526F"/>
    <w:rsid w:val="008F5841"/>
    <w:rsid w:val="00923F3F"/>
    <w:rsid w:val="0096410E"/>
    <w:rsid w:val="009C45F7"/>
    <w:rsid w:val="00A369A9"/>
    <w:rsid w:val="00A761A0"/>
    <w:rsid w:val="00AC45C3"/>
    <w:rsid w:val="00AD5897"/>
    <w:rsid w:val="00B60B90"/>
    <w:rsid w:val="00B75113"/>
    <w:rsid w:val="00B81B2C"/>
    <w:rsid w:val="00BA7D52"/>
    <w:rsid w:val="00BC5F70"/>
    <w:rsid w:val="00C461D5"/>
    <w:rsid w:val="00C477D9"/>
    <w:rsid w:val="00C47B87"/>
    <w:rsid w:val="00C50C04"/>
    <w:rsid w:val="00C54290"/>
    <w:rsid w:val="00C8415D"/>
    <w:rsid w:val="00CA08B6"/>
    <w:rsid w:val="00CA0EDC"/>
    <w:rsid w:val="00CB15B0"/>
    <w:rsid w:val="00CC4FED"/>
    <w:rsid w:val="00CF71A2"/>
    <w:rsid w:val="00D0516C"/>
    <w:rsid w:val="00D206DA"/>
    <w:rsid w:val="00D3279A"/>
    <w:rsid w:val="00D65582"/>
    <w:rsid w:val="00D655EF"/>
    <w:rsid w:val="00D92959"/>
    <w:rsid w:val="00D97422"/>
    <w:rsid w:val="00DA37F8"/>
    <w:rsid w:val="00DB120E"/>
    <w:rsid w:val="00DF35DF"/>
    <w:rsid w:val="00E644F7"/>
    <w:rsid w:val="00EA1AAA"/>
    <w:rsid w:val="00EC3DB2"/>
    <w:rsid w:val="00F2290E"/>
    <w:rsid w:val="00F23E09"/>
    <w:rsid w:val="00F86E04"/>
    <w:rsid w:val="00F9338F"/>
    <w:rsid w:val="00FA02AC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9ECDE3-101F-46A1-9438-57A8C099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2023-08-07T16:40:00Z</dcterms:created>
  <dcterms:modified xsi:type="dcterms:W3CDTF">2023-08-07T16:40:00Z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2023-08-07T16:40:40Z</vt:lpwstr>
  </property>
  <property fmtid="{D5CDD505-2E9C-101B-9397-08002B2CF9AE}" pid="4" name="MSIP_Label_7d24214e-5322-4789-8422-cbe411bc3a74_Method">
    <vt:lpwstr>Standard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4429a726-339f-418e-8025-ebfcfc183d05</vt:lpwstr>
  </property>
  <property fmtid="{D5CDD505-2E9C-101B-9397-08002B2CF9AE}" pid="8" name="MSIP_Label_7d24214e-5322-4789-8422-cbe411bc3a74_ContentBits">
    <vt:lpwstr>0</vt:lpwstr>
  </property>
</Properties>
</file>