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D441" w14:textId="2D88E39D" w:rsidR="007A2144" w:rsidRPr="00B25750" w:rsidRDefault="00B95F1D" w:rsidP="007A2144">
      <w:pPr>
        <w:pStyle w:val="Heading1"/>
      </w:pPr>
      <w:r>
        <w:t>Plan for High-Volume Recruit</w:t>
      </w:r>
      <w:r w:rsidR="00174A87">
        <w:t>ing</w:t>
      </w:r>
      <w:r>
        <w:t xml:space="preserve"> Executive Briefing</w:t>
      </w:r>
    </w:p>
    <w:p w14:paraId="79F8A8C9" w14:textId="30E98286" w:rsidR="007A2144" w:rsidRPr="00447DF5" w:rsidRDefault="00B95F1D" w:rsidP="007A214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Summary</w:t>
      </w:r>
    </w:p>
    <w:p w14:paraId="114FBF70" w14:textId="569692AF" w:rsidR="007A2144" w:rsidRPr="00CC0F49" w:rsidRDefault="00CC0F49" w:rsidP="00CC0F49">
      <w:pPr>
        <w:rPr>
          <w:rFonts w:cs="Segoe UI"/>
          <w:color w:val="000000"/>
          <w:sz w:val="22"/>
          <w:szCs w:val="28"/>
          <w:lang w:eastAsia="en-CA"/>
        </w:rPr>
      </w:pPr>
      <w:r w:rsidRPr="00CC0F49">
        <w:rPr>
          <w:sz w:val="22"/>
          <w:szCs w:val="28"/>
        </w:rPr>
        <w:t xml:space="preserve">Few organizations have plans to decrease their workforce. In fact, </w:t>
      </w:r>
      <w:r w:rsidR="00EA70F8">
        <w:rPr>
          <w:sz w:val="22"/>
          <w:szCs w:val="28"/>
        </w:rPr>
        <w:t>over 90% of employers are hiring for new roles (</w:t>
      </w:r>
      <w:r w:rsidR="00ED44AB">
        <w:rPr>
          <w:sz w:val="22"/>
          <w:szCs w:val="28"/>
        </w:rPr>
        <w:t>iCIMS, 2021)</w:t>
      </w:r>
      <w:r w:rsidRPr="00CC0F49">
        <w:rPr>
          <w:sz w:val="22"/>
          <w:szCs w:val="28"/>
        </w:rPr>
        <w:t xml:space="preserve">. The demand for talent is high, and organizations are struggling to fill roles. </w:t>
      </w:r>
      <w:r w:rsidR="008F6426" w:rsidRPr="008F6426">
        <w:rPr>
          <w:sz w:val="22"/>
          <w:szCs w:val="28"/>
        </w:rPr>
        <w:t>High-volume recruitment (HVR) is the process of filling an above average number of roles within a short period of time. Depending on the organization, the volume of roles can range from a dozen to a thousand. Examples of HVR situations include seasonal hiring, opening a new location, and winning new business.</w:t>
      </w:r>
    </w:p>
    <w:p w14:paraId="349E9D78" w14:textId="7E3B3DC9" w:rsidR="007A2144" w:rsidRPr="00447DF5" w:rsidRDefault="00A373B9" w:rsidP="007A214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Our Recommendation</w:t>
      </w:r>
    </w:p>
    <w:p w14:paraId="3B9CC649" w14:textId="77777777" w:rsidR="00A357BA" w:rsidRPr="00A357BA" w:rsidRDefault="00A357BA" w:rsidP="00A357BA">
      <w:pPr>
        <w:pStyle w:val="Heading2"/>
        <w:numPr>
          <w:ilvl w:val="0"/>
          <w:numId w:val="20"/>
        </w:numPr>
        <w:rPr>
          <w:rFonts w:cs="Times New Roman"/>
          <w:b w:val="0"/>
          <w:bCs w:val="0"/>
          <w:iCs w:val="0"/>
          <w:sz w:val="22"/>
          <w:szCs w:val="22"/>
        </w:rPr>
      </w:pPr>
      <w:r w:rsidRPr="00A357BA">
        <w:rPr>
          <w:rFonts w:cs="Times New Roman"/>
          <w:b w:val="0"/>
          <w:bCs w:val="0"/>
          <w:iCs w:val="0"/>
          <w:sz w:val="22"/>
          <w:szCs w:val="22"/>
        </w:rPr>
        <w:t>Be proactive and leverage project management principles to meet the clear timelines typical of an HVR project.</w:t>
      </w:r>
    </w:p>
    <w:p w14:paraId="086FC061" w14:textId="77777777" w:rsidR="00A357BA" w:rsidRPr="00A357BA" w:rsidRDefault="00A357BA" w:rsidP="00A357BA">
      <w:pPr>
        <w:pStyle w:val="Heading2"/>
        <w:numPr>
          <w:ilvl w:val="0"/>
          <w:numId w:val="20"/>
        </w:numPr>
        <w:rPr>
          <w:rFonts w:cs="Times New Roman"/>
          <w:b w:val="0"/>
          <w:bCs w:val="0"/>
          <w:iCs w:val="0"/>
          <w:sz w:val="22"/>
          <w:szCs w:val="22"/>
        </w:rPr>
      </w:pPr>
      <w:r w:rsidRPr="00A357BA">
        <w:rPr>
          <w:rFonts w:cs="Times New Roman"/>
          <w:b w:val="0"/>
          <w:bCs w:val="0"/>
          <w:iCs w:val="0"/>
          <w:sz w:val="22"/>
          <w:szCs w:val="22"/>
        </w:rPr>
        <w:t xml:space="preserve">An HVR plan will help balance the need for an efficient process and a good candidate experience with hiring manager needs. </w:t>
      </w:r>
    </w:p>
    <w:p w14:paraId="2F66EB30" w14:textId="51C2C7DA" w:rsidR="007A2144" w:rsidRPr="00447DF5" w:rsidRDefault="008B1347" w:rsidP="007A214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Client Challenge</w:t>
      </w:r>
    </w:p>
    <w:p w14:paraId="6C112E03" w14:textId="77777777" w:rsidR="006B081B" w:rsidRPr="006B081B" w:rsidRDefault="006B081B" w:rsidP="006B081B">
      <w:pPr>
        <w:pStyle w:val="Heading2"/>
        <w:numPr>
          <w:ilvl w:val="0"/>
          <w:numId w:val="21"/>
        </w:numPr>
        <w:rPr>
          <w:rFonts w:cs="Segoe UI"/>
          <w:b w:val="0"/>
          <w:bCs w:val="0"/>
          <w:color w:val="000000"/>
          <w:sz w:val="22"/>
          <w:szCs w:val="22"/>
          <w:lang w:eastAsia="en-CA"/>
        </w:rPr>
      </w:pPr>
      <w:r w:rsidRPr="006B081B">
        <w:rPr>
          <w:rFonts w:cs="Segoe UI"/>
          <w:b w:val="0"/>
          <w:bCs w:val="0"/>
          <w:color w:val="000000"/>
          <w:sz w:val="22"/>
          <w:szCs w:val="22"/>
          <w:lang w:eastAsia="en-CA"/>
        </w:rPr>
        <w:t xml:space="preserve">A tight labor market already makes regular cycle recruitment challenging. An HVR project not only increases the amount of requisitions a team will have to fill but also amplifies the impact of regular recruitment challenges (e.g. poor candidate experience, inconsistent hiring results, inefficient talent acquisition process). </w:t>
      </w:r>
    </w:p>
    <w:p w14:paraId="0B4F5A8F" w14:textId="3CC34AE0" w:rsidR="007A2144" w:rsidRPr="00447DF5" w:rsidRDefault="00C46EF3" w:rsidP="007A214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Critical Insight</w:t>
      </w:r>
    </w:p>
    <w:p w14:paraId="0C81692F" w14:textId="6EF574B4" w:rsidR="007A2144" w:rsidRPr="00447DF5" w:rsidRDefault="00C46EF3" w:rsidP="007A2144">
      <w:pPr>
        <w:pStyle w:val="ListParagraph"/>
        <w:numPr>
          <w:ilvl w:val="0"/>
          <w:numId w:val="4"/>
        </w:numPr>
        <w:spacing w:before="120" w:after="160"/>
        <w:ind w:left="357" w:hanging="357"/>
        <w:contextualSpacing w:val="0"/>
        <w:rPr>
          <w:rFonts w:cs="Segoe UI"/>
          <w:color w:val="000000"/>
          <w:sz w:val="22"/>
          <w:szCs w:val="22"/>
          <w:lang w:eastAsia="en-CA"/>
        </w:rPr>
      </w:pPr>
      <w:r>
        <w:rPr>
          <w:rFonts w:cs="Segoe UI"/>
          <w:color w:val="000000"/>
          <w:sz w:val="22"/>
          <w:szCs w:val="22"/>
          <w:lang w:eastAsia="en-CA"/>
        </w:rPr>
        <w:t xml:space="preserve">Balancing the candidate experience and hiring manager needs with process efficiency may seem impossible. Use project management principles to make it achievable. </w:t>
      </w:r>
    </w:p>
    <w:p w14:paraId="5BACDFA7" w14:textId="016CC180" w:rsidR="007A2144" w:rsidRPr="00447DF5" w:rsidRDefault="00315767" w:rsidP="007A2144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Follow McLean &amp; Company’s Three-Step Process to Plan for High-Volume Recruit</w:t>
      </w:r>
      <w:r w:rsidR="008150B6">
        <w:rPr>
          <w:sz w:val="24"/>
          <w:szCs w:val="24"/>
        </w:rPr>
        <w:t>ing</w:t>
      </w:r>
    </w:p>
    <w:p w14:paraId="2CA1C8FC" w14:textId="3880C4CB" w:rsidR="007A2144" w:rsidRPr="00447DF5" w:rsidRDefault="00D15331" w:rsidP="00315767">
      <w:pPr>
        <w:spacing w:before="180"/>
        <w:rPr>
          <w:rFonts w:cs="Segoe UI"/>
          <w:color w:val="000000"/>
          <w:sz w:val="22"/>
          <w:szCs w:val="22"/>
          <w:lang w:eastAsia="en-CA"/>
        </w:rPr>
      </w:pPr>
      <w:r>
        <w:rPr>
          <w:noProof/>
        </w:rPr>
        <w:drawing>
          <wp:inline distT="0" distB="0" distL="0" distR="0" wp14:anchorId="3F0A607C" wp14:editId="0ACC9CA8">
            <wp:extent cx="5943600" cy="2567940"/>
            <wp:effectExtent l="0" t="0" r="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3B0B" w14:textId="28091413" w:rsidR="007A2144" w:rsidRDefault="00315767" w:rsidP="007A2144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Get to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15767" w14:paraId="52544EBF" w14:textId="77777777" w:rsidTr="007A2F77">
        <w:tc>
          <w:tcPr>
            <w:tcW w:w="3325" w:type="dxa"/>
          </w:tcPr>
          <w:p w14:paraId="636B7418" w14:textId="1AEA0E48" w:rsidR="00315767" w:rsidRPr="00F6753E" w:rsidRDefault="00315767" w:rsidP="0031576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>Define the Scope and Complexity of the Project</w:t>
            </w:r>
          </w:p>
        </w:tc>
        <w:tc>
          <w:tcPr>
            <w:tcW w:w="6025" w:type="dxa"/>
          </w:tcPr>
          <w:p w14:paraId="1B0DFD33" w14:textId="77777777" w:rsidR="00315767" w:rsidRPr="00F6753E" w:rsidRDefault="00315767" w:rsidP="003157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Determine the breadth of the HVR project. </w:t>
            </w:r>
          </w:p>
          <w:p w14:paraId="4B780EC5" w14:textId="77777777" w:rsidR="00315767" w:rsidRPr="00F6753E" w:rsidRDefault="00315767" w:rsidP="003157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Define the complexity of the HVR project. </w:t>
            </w:r>
          </w:p>
          <w:p w14:paraId="6FB6CB76" w14:textId="77777777" w:rsidR="00315767" w:rsidRPr="00F6753E" w:rsidRDefault="00315767" w:rsidP="003157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Identify HVR project constraints. </w:t>
            </w:r>
          </w:p>
          <w:p w14:paraId="34A2786F" w14:textId="77777777" w:rsidR="00315767" w:rsidRPr="00F6753E" w:rsidRDefault="00315767" w:rsidP="0031576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Select goals and metrics for the project. </w:t>
            </w:r>
          </w:p>
          <w:p w14:paraId="6C959054" w14:textId="77777777" w:rsidR="00315767" w:rsidRPr="00F6753E" w:rsidRDefault="00315767" w:rsidP="00315767">
            <w:pPr>
              <w:rPr>
                <w:sz w:val="22"/>
                <w:szCs w:val="28"/>
              </w:rPr>
            </w:pPr>
          </w:p>
          <w:p w14:paraId="21057C20" w14:textId="77777777" w:rsidR="00315767" w:rsidRPr="00F6753E" w:rsidRDefault="00315767" w:rsidP="00315767">
            <w:pPr>
              <w:rPr>
                <w:b/>
                <w:bCs/>
                <w:sz w:val="22"/>
                <w:szCs w:val="28"/>
              </w:rPr>
            </w:pPr>
            <w:r w:rsidRPr="00F6753E">
              <w:rPr>
                <w:b/>
                <w:bCs/>
                <w:sz w:val="22"/>
                <w:szCs w:val="28"/>
              </w:rPr>
              <w:t xml:space="preserve">Deliverables: </w:t>
            </w:r>
          </w:p>
          <w:p w14:paraId="3930A2F6" w14:textId="1DB6E8ED" w:rsidR="006C43F1" w:rsidRPr="006C43F1" w:rsidRDefault="006C43F1" w:rsidP="006C43F1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High-Volume Recruit</w:t>
            </w:r>
            <w:r w:rsidR="008150B6">
              <w:rPr>
                <w:i/>
                <w:iCs/>
                <w:sz w:val="22"/>
                <w:szCs w:val="28"/>
              </w:rPr>
              <w:t>ing</w:t>
            </w:r>
            <w:r w:rsidRPr="00F6753E">
              <w:rPr>
                <w:i/>
                <w:iCs/>
                <w:sz w:val="22"/>
                <w:szCs w:val="28"/>
              </w:rPr>
              <w:t xml:space="preserve"> Project Plan</w:t>
            </w:r>
          </w:p>
          <w:p w14:paraId="34C0C779" w14:textId="74A00019" w:rsidR="00315767" w:rsidRPr="00F6753E" w:rsidRDefault="00315767" w:rsidP="003157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Intake Meeting Guide</w:t>
            </w:r>
          </w:p>
          <w:p w14:paraId="07B6076C" w14:textId="77777777" w:rsidR="00315767" w:rsidRPr="00F6753E" w:rsidRDefault="00315767" w:rsidP="003157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Candidate Audience Profile Template</w:t>
            </w:r>
          </w:p>
          <w:p w14:paraId="6F84A411" w14:textId="77777777" w:rsidR="00315767" w:rsidRPr="00F6753E" w:rsidRDefault="00315767" w:rsidP="00315767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 xml:space="preserve">HR Metrics Library </w:t>
            </w:r>
          </w:p>
          <w:p w14:paraId="2C519F2D" w14:textId="2A0727FB" w:rsidR="00315767" w:rsidRPr="00F6753E" w:rsidRDefault="00315767" w:rsidP="0031576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Case Studies: Plan for High-Volume Recruit</w:t>
            </w:r>
            <w:r w:rsidR="008150B6">
              <w:rPr>
                <w:i/>
                <w:iCs/>
                <w:sz w:val="22"/>
                <w:szCs w:val="28"/>
              </w:rPr>
              <w:t>ing</w:t>
            </w:r>
            <w:r w:rsidRPr="00F6753E">
              <w:rPr>
                <w:sz w:val="22"/>
                <w:szCs w:val="28"/>
              </w:rPr>
              <w:t xml:space="preserve"> </w:t>
            </w:r>
          </w:p>
        </w:tc>
      </w:tr>
      <w:tr w:rsidR="00315767" w14:paraId="1E2481E1" w14:textId="77777777" w:rsidTr="007A2F77">
        <w:tc>
          <w:tcPr>
            <w:tcW w:w="3325" w:type="dxa"/>
          </w:tcPr>
          <w:p w14:paraId="075DE795" w14:textId="12B9FAA2" w:rsidR="00315767" w:rsidRPr="00F6753E" w:rsidRDefault="00315767" w:rsidP="0031576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Assess and Customize the </w:t>
            </w:r>
            <w:r w:rsidR="002B0F70">
              <w:rPr>
                <w:sz w:val="22"/>
                <w:szCs w:val="28"/>
              </w:rPr>
              <w:t>TA</w:t>
            </w:r>
            <w:r w:rsidRPr="00F6753E">
              <w:rPr>
                <w:sz w:val="22"/>
                <w:szCs w:val="28"/>
              </w:rPr>
              <w:t xml:space="preserve"> Process for HVR</w:t>
            </w:r>
          </w:p>
        </w:tc>
        <w:tc>
          <w:tcPr>
            <w:tcW w:w="6025" w:type="dxa"/>
          </w:tcPr>
          <w:p w14:paraId="7648B42E" w14:textId="77777777" w:rsidR="00315767" w:rsidRPr="00F6753E" w:rsidRDefault="00315767" w:rsidP="00DB195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Customize the TA process to address HVR needs. </w:t>
            </w:r>
          </w:p>
          <w:p w14:paraId="2838B8F2" w14:textId="77777777" w:rsidR="00315767" w:rsidRPr="00F6753E" w:rsidRDefault="00315767" w:rsidP="00DB195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Identify external communication needs and additional materials required for the project. </w:t>
            </w:r>
          </w:p>
          <w:p w14:paraId="2A925B4F" w14:textId="77777777" w:rsidR="00315767" w:rsidRPr="00F6753E" w:rsidRDefault="00315767" w:rsidP="00315767">
            <w:pPr>
              <w:rPr>
                <w:sz w:val="22"/>
                <w:szCs w:val="28"/>
              </w:rPr>
            </w:pPr>
          </w:p>
          <w:p w14:paraId="6DA8334F" w14:textId="77777777" w:rsidR="00315767" w:rsidRPr="00F6753E" w:rsidRDefault="00315767" w:rsidP="00315767">
            <w:pPr>
              <w:rPr>
                <w:b/>
                <w:bCs/>
                <w:sz w:val="22"/>
                <w:szCs w:val="28"/>
              </w:rPr>
            </w:pPr>
            <w:r w:rsidRPr="00F6753E">
              <w:rPr>
                <w:b/>
                <w:bCs/>
                <w:sz w:val="22"/>
                <w:szCs w:val="28"/>
              </w:rPr>
              <w:t xml:space="preserve">Deliverables: </w:t>
            </w:r>
          </w:p>
          <w:p w14:paraId="1FA1F09C" w14:textId="55F7AC5C" w:rsidR="00315767" w:rsidRPr="00227A64" w:rsidRDefault="00315767" w:rsidP="00FD52F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High-Volume Recruit</w:t>
            </w:r>
            <w:r w:rsidR="008150B6">
              <w:rPr>
                <w:i/>
                <w:iCs/>
                <w:sz w:val="22"/>
                <w:szCs w:val="28"/>
              </w:rPr>
              <w:t>ing</w:t>
            </w:r>
            <w:r w:rsidRPr="00F6753E">
              <w:rPr>
                <w:i/>
                <w:iCs/>
                <w:sz w:val="22"/>
                <w:szCs w:val="28"/>
              </w:rPr>
              <w:t xml:space="preserve"> Project Plan</w:t>
            </w:r>
          </w:p>
          <w:p w14:paraId="29C1A46E" w14:textId="77777777" w:rsidR="00227A64" w:rsidRPr="00FD52FE" w:rsidRDefault="00227A64" w:rsidP="00FD52F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8"/>
              </w:rPr>
            </w:pPr>
            <w:r>
              <w:rPr>
                <w:i/>
                <w:iCs/>
                <w:sz w:val="22"/>
                <w:szCs w:val="28"/>
              </w:rPr>
              <w:t>Job Ad Guide</w:t>
            </w:r>
          </w:p>
          <w:p w14:paraId="3889EBB6" w14:textId="195FFF65" w:rsidR="00FD52FE" w:rsidRPr="00FD52FE" w:rsidRDefault="00FD52FE" w:rsidP="00FD52F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Candidate Audience Profile Template</w:t>
            </w:r>
          </w:p>
        </w:tc>
      </w:tr>
      <w:tr w:rsidR="00315767" w14:paraId="10A2564C" w14:textId="77777777" w:rsidTr="007A2F77">
        <w:tc>
          <w:tcPr>
            <w:tcW w:w="3325" w:type="dxa"/>
          </w:tcPr>
          <w:p w14:paraId="799769A1" w14:textId="55690097" w:rsidR="00315767" w:rsidRPr="00F6753E" w:rsidRDefault="00315767" w:rsidP="0031576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Develop the Project Plan </w:t>
            </w:r>
          </w:p>
        </w:tc>
        <w:tc>
          <w:tcPr>
            <w:tcW w:w="6025" w:type="dxa"/>
          </w:tcPr>
          <w:p w14:paraId="56FE0DEA" w14:textId="131F4CBF" w:rsidR="00315767" w:rsidRPr="00F6753E" w:rsidRDefault="00C3208A" w:rsidP="00C3208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Prepare a business case for </w:t>
            </w:r>
            <w:r w:rsidR="001D4650">
              <w:rPr>
                <w:sz w:val="22"/>
                <w:szCs w:val="28"/>
              </w:rPr>
              <w:t>key players</w:t>
            </w:r>
            <w:r w:rsidRPr="00F6753E">
              <w:rPr>
                <w:sz w:val="22"/>
                <w:szCs w:val="28"/>
              </w:rPr>
              <w:t xml:space="preserve">. </w:t>
            </w:r>
          </w:p>
          <w:p w14:paraId="564E9388" w14:textId="77777777" w:rsidR="00C3208A" w:rsidRPr="00F6753E" w:rsidRDefault="00C3208A" w:rsidP="00C3208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Clarify project team roles. </w:t>
            </w:r>
          </w:p>
          <w:p w14:paraId="0DC2FAAE" w14:textId="77777777" w:rsidR="00C3208A" w:rsidRPr="00F6753E" w:rsidRDefault="00C3208A" w:rsidP="00C3208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Determine project team communication methods. </w:t>
            </w:r>
          </w:p>
          <w:p w14:paraId="69A4A1F6" w14:textId="77777777" w:rsidR="00C3208A" w:rsidRPr="00F6753E" w:rsidRDefault="00C3208A" w:rsidP="00C3208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8"/>
              </w:rPr>
            </w:pPr>
            <w:r w:rsidRPr="00F6753E">
              <w:rPr>
                <w:sz w:val="22"/>
                <w:szCs w:val="28"/>
              </w:rPr>
              <w:t xml:space="preserve">Hold a kick-off meeting to prepare project team members. </w:t>
            </w:r>
          </w:p>
          <w:p w14:paraId="2CB2103B" w14:textId="77777777" w:rsidR="00C3208A" w:rsidRPr="00F6753E" w:rsidRDefault="00C3208A" w:rsidP="00C3208A">
            <w:pPr>
              <w:rPr>
                <w:sz w:val="22"/>
                <w:szCs w:val="28"/>
              </w:rPr>
            </w:pPr>
          </w:p>
          <w:p w14:paraId="3632132C" w14:textId="77777777" w:rsidR="00C3208A" w:rsidRPr="00F6753E" w:rsidRDefault="00C3208A" w:rsidP="00C3208A">
            <w:pPr>
              <w:rPr>
                <w:sz w:val="22"/>
                <w:szCs w:val="28"/>
              </w:rPr>
            </w:pPr>
            <w:r w:rsidRPr="00F6753E">
              <w:rPr>
                <w:b/>
                <w:bCs/>
                <w:sz w:val="22"/>
                <w:szCs w:val="28"/>
              </w:rPr>
              <w:t>Deliverables:</w:t>
            </w:r>
          </w:p>
          <w:p w14:paraId="40BC3DF9" w14:textId="5809F42E" w:rsidR="00F6753E" w:rsidRPr="005746E2" w:rsidRDefault="00F6753E" w:rsidP="005746E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8"/>
              </w:rPr>
            </w:pPr>
            <w:r w:rsidRPr="00F6753E">
              <w:rPr>
                <w:i/>
                <w:iCs/>
                <w:sz w:val="22"/>
                <w:szCs w:val="28"/>
              </w:rPr>
              <w:t>High-Volume Recruit</w:t>
            </w:r>
            <w:r w:rsidR="008150B6">
              <w:rPr>
                <w:i/>
                <w:iCs/>
                <w:sz w:val="22"/>
                <w:szCs w:val="28"/>
              </w:rPr>
              <w:t>ing</w:t>
            </w:r>
            <w:r w:rsidRPr="00F6753E">
              <w:rPr>
                <w:i/>
                <w:iCs/>
                <w:sz w:val="22"/>
                <w:szCs w:val="28"/>
              </w:rPr>
              <w:t xml:space="preserve"> Project Plan</w:t>
            </w:r>
          </w:p>
        </w:tc>
      </w:tr>
    </w:tbl>
    <w:p w14:paraId="2246BB97" w14:textId="77777777" w:rsidR="00315767" w:rsidRPr="00315767" w:rsidRDefault="00315767" w:rsidP="00315767"/>
    <w:p w14:paraId="551AAAFA" w14:textId="77777777" w:rsidR="007A2144" w:rsidRPr="00447DF5" w:rsidRDefault="007A2144" w:rsidP="007A2144">
      <w:pPr>
        <w:jc w:val="center"/>
        <w:rPr>
          <w:sz w:val="22"/>
          <w:szCs w:val="22"/>
        </w:rPr>
      </w:pPr>
      <w:r w:rsidRPr="00447DF5">
        <w:rPr>
          <w:sz w:val="22"/>
          <w:szCs w:val="22"/>
        </w:rPr>
        <w:t>_____________________________________________________</w:t>
      </w:r>
    </w:p>
    <w:p w14:paraId="7B1E28C3" w14:textId="77777777" w:rsidR="007A2144" w:rsidRDefault="007A2144" w:rsidP="007A2144">
      <w:pPr>
        <w:jc w:val="center"/>
      </w:pPr>
    </w:p>
    <w:p w14:paraId="4F0EA8EA" w14:textId="77777777" w:rsidR="007A2144" w:rsidRPr="008B4684" w:rsidRDefault="007A2144" w:rsidP="007A2144">
      <w:pPr>
        <w:tabs>
          <w:tab w:val="left" w:pos="2865"/>
        </w:tabs>
        <w:jc w:val="center"/>
      </w:pPr>
      <w:r w:rsidRPr="00753192">
        <w:rPr>
          <w:rFonts w:cs="Arial"/>
          <w:szCs w:val="20"/>
        </w:rPr>
        <w:t xml:space="preserve">For acceptable use of this template, refer to McLean &amp; Company's </w:t>
      </w:r>
      <w:hyperlink r:id="rId9" w:history="1">
        <w:r w:rsidRPr="00753192">
          <w:rPr>
            <w:rStyle w:val="Hyperlink"/>
            <w:rFonts w:cs="Arial"/>
            <w:szCs w:val="20"/>
          </w:rPr>
          <w:t>Terms of Use</w:t>
        </w:r>
      </w:hyperlink>
      <w:r w:rsidRPr="00753192">
        <w:rPr>
          <w:rFonts w:cs="Arial"/>
          <w:szCs w:val="20"/>
        </w:rPr>
        <w:t>. These documents are intended to supply general information only, not specific professional, personal, legal, or accounting advice,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</w:p>
    <w:p w14:paraId="4711218B" w14:textId="2E90455D" w:rsidR="00C8415D" w:rsidRPr="007A2144" w:rsidRDefault="00C8415D" w:rsidP="007A2144"/>
    <w:sectPr w:rsidR="00C8415D" w:rsidRPr="007A2144" w:rsidSect="00DE4E5C">
      <w:headerReference w:type="default" r:id="rId10"/>
      <w:footerReference w:type="default" r:id="rId11"/>
      <w:pgSz w:w="12240" w:h="15840"/>
      <w:pgMar w:top="1440" w:right="1440" w:bottom="1440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A91F" w14:textId="77777777" w:rsidR="00DE4E5C" w:rsidRDefault="00DE4E5C">
      <w:r>
        <w:separator/>
      </w:r>
    </w:p>
  </w:endnote>
  <w:endnote w:type="continuationSeparator" w:id="0">
    <w:p w14:paraId="5A759568" w14:textId="77777777" w:rsidR="00DE4E5C" w:rsidRDefault="00DE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53192" w:rsidRDefault="005C7852">
    <w:pPr>
      <w:pStyle w:val="Footer"/>
      <w:jc w:val="center"/>
      <w:rPr>
        <w:color w:val="808080"/>
        <w:szCs w:val="20"/>
      </w:rPr>
    </w:pPr>
    <w:r w:rsidRPr="00753192">
      <w:rPr>
        <w:color w:val="808080"/>
        <w:szCs w:val="20"/>
      </w:rPr>
      <w:fldChar w:fldCharType="begin"/>
    </w:r>
    <w:r w:rsidR="00775EA1" w:rsidRPr="00753192">
      <w:rPr>
        <w:color w:val="808080"/>
        <w:szCs w:val="20"/>
      </w:rPr>
      <w:instrText xml:space="preserve"> PAGE   \* MERGEFORMAT </w:instrText>
    </w:r>
    <w:r w:rsidRPr="00753192">
      <w:rPr>
        <w:color w:val="808080"/>
        <w:szCs w:val="20"/>
      </w:rPr>
      <w:fldChar w:fldCharType="separate"/>
    </w:r>
    <w:r w:rsidR="00CE54D1">
      <w:rPr>
        <w:noProof/>
        <w:color w:val="808080"/>
        <w:szCs w:val="20"/>
      </w:rPr>
      <w:t>1</w:t>
    </w:r>
    <w:r w:rsidRPr="00753192">
      <w:rPr>
        <w:color w:val="808080"/>
        <w:szCs w:val="20"/>
      </w:rPr>
      <w:fldChar w:fldCharType="end"/>
    </w:r>
  </w:p>
  <w:p w14:paraId="1E5B761F" w14:textId="3CDE2C9C" w:rsidR="00775EA1" w:rsidRPr="00753192" w:rsidRDefault="00753192">
    <w:pPr>
      <w:pStyle w:val="Footer"/>
      <w:jc w:val="center"/>
      <w:rPr>
        <w:color w:val="808080"/>
        <w:szCs w:val="20"/>
      </w:rPr>
    </w:pPr>
    <w:r>
      <w:rPr>
        <w:color w:val="808080"/>
        <w:szCs w:val="20"/>
      </w:rPr>
      <w:t xml:space="preserve">   </w:t>
    </w:r>
    <w:r w:rsidR="00775EA1" w:rsidRPr="00753192">
      <w:rPr>
        <w:color w:val="808080"/>
        <w:szCs w:val="20"/>
      </w:rPr>
      <w:t>McLean &amp; Company</w:t>
    </w:r>
  </w:p>
  <w:p w14:paraId="35CF3E3B" w14:textId="77777777" w:rsidR="00775EA1" w:rsidRPr="00753192" w:rsidRDefault="00775EA1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6E45" w14:textId="77777777" w:rsidR="00DE4E5C" w:rsidRDefault="00DE4E5C">
      <w:r>
        <w:separator/>
      </w:r>
    </w:p>
  </w:footnote>
  <w:footnote w:type="continuationSeparator" w:id="0">
    <w:p w14:paraId="782E7166" w14:textId="77777777" w:rsidR="00DE4E5C" w:rsidRDefault="00DE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779B" w14:textId="08E96501" w:rsidR="00D71D04" w:rsidRDefault="00D902E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56B62B7" wp14:editId="0AFCACC6">
          <wp:simplePos x="0" y="0"/>
          <wp:positionH relativeFrom="margin">
            <wp:posOffset>-946785</wp:posOffset>
          </wp:positionH>
          <wp:positionV relativeFrom="margin">
            <wp:posOffset>-1080135</wp:posOffset>
          </wp:positionV>
          <wp:extent cx="7808400" cy="993600"/>
          <wp:effectExtent l="0" t="0" r="2540" b="0"/>
          <wp:wrapSquare wrapText="bothSides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D1"/>
    <w:multiLevelType w:val="hybridMultilevel"/>
    <w:tmpl w:val="6ACC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14"/>
    <w:multiLevelType w:val="hybridMultilevel"/>
    <w:tmpl w:val="BA249B1E"/>
    <w:lvl w:ilvl="0" w:tplc="3CF01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EF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06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C9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CFB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A7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EB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4A8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4A8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60125A"/>
    <w:multiLevelType w:val="hybridMultilevel"/>
    <w:tmpl w:val="4EB83F42"/>
    <w:lvl w:ilvl="0" w:tplc="10B2C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67E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8B8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44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8F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EB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C6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EB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296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AC2DE3"/>
    <w:multiLevelType w:val="hybridMultilevel"/>
    <w:tmpl w:val="3232F810"/>
    <w:lvl w:ilvl="0" w:tplc="143CA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23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AD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C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84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1F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44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A29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AE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710BDD"/>
    <w:multiLevelType w:val="hybridMultilevel"/>
    <w:tmpl w:val="79D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60C0"/>
    <w:multiLevelType w:val="hybridMultilevel"/>
    <w:tmpl w:val="064625C4"/>
    <w:lvl w:ilvl="0" w:tplc="21308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C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0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E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A3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6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85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4B431E"/>
    <w:multiLevelType w:val="hybridMultilevel"/>
    <w:tmpl w:val="0AD877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77FF3"/>
    <w:multiLevelType w:val="hybridMultilevel"/>
    <w:tmpl w:val="A4FCC8F8"/>
    <w:lvl w:ilvl="0" w:tplc="1EF277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2CFE"/>
    <w:multiLevelType w:val="hybridMultilevel"/>
    <w:tmpl w:val="A61A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760"/>
    <w:multiLevelType w:val="hybridMultilevel"/>
    <w:tmpl w:val="3120DDDC"/>
    <w:lvl w:ilvl="0" w:tplc="E0082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50366"/>
    <w:multiLevelType w:val="hybridMultilevel"/>
    <w:tmpl w:val="38AA3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33D59"/>
    <w:multiLevelType w:val="hybridMultilevel"/>
    <w:tmpl w:val="7D6AE7C6"/>
    <w:lvl w:ilvl="0" w:tplc="67A45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D6244"/>
    <w:multiLevelType w:val="hybridMultilevel"/>
    <w:tmpl w:val="20CC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6E2"/>
    <w:multiLevelType w:val="hybridMultilevel"/>
    <w:tmpl w:val="B3DEBF0E"/>
    <w:lvl w:ilvl="0" w:tplc="F718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4C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09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8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8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AC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E0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9C3404"/>
    <w:multiLevelType w:val="hybridMultilevel"/>
    <w:tmpl w:val="C956644A"/>
    <w:lvl w:ilvl="0" w:tplc="434C2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0352"/>
    <w:multiLevelType w:val="hybridMultilevel"/>
    <w:tmpl w:val="D49E3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7630A"/>
    <w:multiLevelType w:val="hybridMultilevel"/>
    <w:tmpl w:val="6E8ED05A"/>
    <w:lvl w:ilvl="0" w:tplc="CCD4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69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C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81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E7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A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E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51099D"/>
    <w:multiLevelType w:val="hybridMultilevel"/>
    <w:tmpl w:val="F06E7618"/>
    <w:lvl w:ilvl="0" w:tplc="FCDA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B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E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8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A6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6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E9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A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02916"/>
    <w:multiLevelType w:val="hybridMultilevel"/>
    <w:tmpl w:val="69DEDAC6"/>
    <w:lvl w:ilvl="0" w:tplc="DC22A4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85176">
    <w:abstractNumId w:val="10"/>
  </w:num>
  <w:num w:numId="2" w16cid:durableId="157043020">
    <w:abstractNumId w:val="20"/>
  </w:num>
  <w:num w:numId="3" w16cid:durableId="1797522725">
    <w:abstractNumId w:val="13"/>
  </w:num>
  <w:num w:numId="4" w16cid:durableId="295767135">
    <w:abstractNumId w:val="6"/>
  </w:num>
  <w:num w:numId="5" w16cid:durableId="1499493705">
    <w:abstractNumId w:val="15"/>
  </w:num>
  <w:num w:numId="6" w16cid:durableId="996960817">
    <w:abstractNumId w:val="2"/>
  </w:num>
  <w:num w:numId="7" w16cid:durableId="826477724">
    <w:abstractNumId w:val="19"/>
  </w:num>
  <w:num w:numId="8" w16cid:durableId="1980529121">
    <w:abstractNumId w:val="3"/>
  </w:num>
  <w:num w:numId="9" w16cid:durableId="1832210407">
    <w:abstractNumId w:val="1"/>
  </w:num>
  <w:num w:numId="10" w16cid:durableId="317657512">
    <w:abstractNumId w:val="5"/>
  </w:num>
  <w:num w:numId="11" w16cid:durableId="775949885">
    <w:abstractNumId w:val="21"/>
  </w:num>
  <w:num w:numId="12" w16cid:durableId="135344193">
    <w:abstractNumId w:val="18"/>
  </w:num>
  <w:num w:numId="13" w16cid:durableId="1150243725">
    <w:abstractNumId w:val="0"/>
  </w:num>
  <w:num w:numId="14" w16cid:durableId="2110661283">
    <w:abstractNumId w:val="9"/>
  </w:num>
  <w:num w:numId="15" w16cid:durableId="1361934891">
    <w:abstractNumId w:val="7"/>
  </w:num>
  <w:num w:numId="16" w16cid:durableId="1641881959">
    <w:abstractNumId w:val="4"/>
  </w:num>
  <w:num w:numId="17" w16cid:durableId="277882556">
    <w:abstractNumId w:val="16"/>
  </w:num>
  <w:num w:numId="18" w16cid:durableId="178277719">
    <w:abstractNumId w:val="14"/>
  </w:num>
  <w:num w:numId="19" w16cid:durableId="275597557">
    <w:abstractNumId w:val="12"/>
  </w:num>
  <w:num w:numId="20" w16cid:durableId="1326588880">
    <w:abstractNumId w:val="8"/>
  </w:num>
  <w:num w:numId="21" w16cid:durableId="982196971">
    <w:abstractNumId w:val="11"/>
  </w:num>
  <w:num w:numId="22" w16cid:durableId="300237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61DA9"/>
    <w:rsid w:val="000E1443"/>
    <w:rsid w:val="000E39E3"/>
    <w:rsid w:val="00134035"/>
    <w:rsid w:val="0013721C"/>
    <w:rsid w:val="00141A70"/>
    <w:rsid w:val="00166A35"/>
    <w:rsid w:val="00174A87"/>
    <w:rsid w:val="00186D07"/>
    <w:rsid w:val="001D4650"/>
    <w:rsid w:val="001F431F"/>
    <w:rsid w:val="00227A64"/>
    <w:rsid w:val="00234116"/>
    <w:rsid w:val="00253948"/>
    <w:rsid w:val="00274386"/>
    <w:rsid w:val="002801C8"/>
    <w:rsid w:val="00287975"/>
    <w:rsid w:val="00287AD9"/>
    <w:rsid w:val="002B0F70"/>
    <w:rsid w:val="002D034A"/>
    <w:rsid w:val="002D5ADC"/>
    <w:rsid w:val="003018D3"/>
    <w:rsid w:val="00315767"/>
    <w:rsid w:val="00326AF8"/>
    <w:rsid w:val="00343D15"/>
    <w:rsid w:val="00353AC1"/>
    <w:rsid w:val="00382259"/>
    <w:rsid w:val="004069F4"/>
    <w:rsid w:val="00447DF5"/>
    <w:rsid w:val="00450490"/>
    <w:rsid w:val="004555A3"/>
    <w:rsid w:val="004A1C52"/>
    <w:rsid w:val="004C1461"/>
    <w:rsid w:val="004C2324"/>
    <w:rsid w:val="004C4012"/>
    <w:rsid w:val="004D32EB"/>
    <w:rsid w:val="004F57CC"/>
    <w:rsid w:val="00507AED"/>
    <w:rsid w:val="005351EF"/>
    <w:rsid w:val="005746E2"/>
    <w:rsid w:val="005C7852"/>
    <w:rsid w:val="00600829"/>
    <w:rsid w:val="00654970"/>
    <w:rsid w:val="006B081B"/>
    <w:rsid w:val="006C43F1"/>
    <w:rsid w:val="00701BB0"/>
    <w:rsid w:val="00753192"/>
    <w:rsid w:val="00775EA1"/>
    <w:rsid w:val="0079168A"/>
    <w:rsid w:val="007A2144"/>
    <w:rsid w:val="007A2F77"/>
    <w:rsid w:val="007A3E37"/>
    <w:rsid w:val="008150B6"/>
    <w:rsid w:val="0081572D"/>
    <w:rsid w:val="00823A4D"/>
    <w:rsid w:val="00830085"/>
    <w:rsid w:val="00836C28"/>
    <w:rsid w:val="008503EC"/>
    <w:rsid w:val="00853B3B"/>
    <w:rsid w:val="00896297"/>
    <w:rsid w:val="008A0C00"/>
    <w:rsid w:val="008A6963"/>
    <w:rsid w:val="008B1347"/>
    <w:rsid w:val="008B4684"/>
    <w:rsid w:val="008B6398"/>
    <w:rsid w:val="008C5E54"/>
    <w:rsid w:val="008F5841"/>
    <w:rsid w:val="008F6426"/>
    <w:rsid w:val="00913A1B"/>
    <w:rsid w:val="00923F3F"/>
    <w:rsid w:val="009554BB"/>
    <w:rsid w:val="00990E30"/>
    <w:rsid w:val="00995CEA"/>
    <w:rsid w:val="009D0E83"/>
    <w:rsid w:val="00A357BA"/>
    <w:rsid w:val="00A373B9"/>
    <w:rsid w:val="00A53799"/>
    <w:rsid w:val="00A65F2B"/>
    <w:rsid w:val="00A74B15"/>
    <w:rsid w:val="00A75CF6"/>
    <w:rsid w:val="00A761A0"/>
    <w:rsid w:val="00A87068"/>
    <w:rsid w:val="00AC3A11"/>
    <w:rsid w:val="00AC45C3"/>
    <w:rsid w:val="00AD2A5C"/>
    <w:rsid w:val="00B0375E"/>
    <w:rsid w:val="00B11A60"/>
    <w:rsid w:val="00B431FD"/>
    <w:rsid w:val="00B95F1D"/>
    <w:rsid w:val="00BA2394"/>
    <w:rsid w:val="00BC227E"/>
    <w:rsid w:val="00C3208A"/>
    <w:rsid w:val="00C46EF3"/>
    <w:rsid w:val="00C47B87"/>
    <w:rsid w:val="00C50C04"/>
    <w:rsid w:val="00C50DEE"/>
    <w:rsid w:val="00C70750"/>
    <w:rsid w:val="00C71D5D"/>
    <w:rsid w:val="00C8415D"/>
    <w:rsid w:val="00CA08B6"/>
    <w:rsid w:val="00CA0EDC"/>
    <w:rsid w:val="00CB15B0"/>
    <w:rsid w:val="00CC0F49"/>
    <w:rsid w:val="00CC3CB7"/>
    <w:rsid w:val="00CE54D1"/>
    <w:rsid w:val="00D0516C"/>
    <w:rsid w:val="00D15331"/>
    <w:rsid w:val="00D206DA"/>
    <w:rsid w:val="00D44634"/>
    <w:rsid w:val="00D64F20"/>
    <w:rsid w:val="00D71D04"/>
    <w:rsid w:val="00D902E7"/>
    <w:rsid w:val="00DA32FB"/>
    <w:rsid w:val="00DB120E"/>
    <w:rsid w:val="00DB1954"/>
    <w:rsid w:val="00DC7D92"/>
    <w:rsid w:val="00DE4E5C"/>
    <w:rsid w:val="00E12D27"/>
    <w:rsid w:val="00E1604A"/>
    <w:rsid w:val="00E67E04"/>
    <w:rsid w:val="00EA70F8"/>
    <w:rsid w:val="00ED44AB"/>
    <w:rsid w:val="00ED6D91"/>
    <w:rsid w:val="00F6753E"/>
    <w:rsid w:val="00F823F7"/>
    <w:rsid w:val="00F86E04"/>
    <w:rsid w:val="00F9338F"/>
    <w:rsid w:val="00FC0A49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343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827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596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309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300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983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1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8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1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6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7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0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3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3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7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4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5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4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3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0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1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829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1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4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3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9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0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4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7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4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4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2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7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3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3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7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8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43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4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2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9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5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3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mcleanco.com/te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CO-Current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F2D1"/>
      </a:accent4>
      <a:accent5>
        <a:srgbClr val="85DBE2"/>
      </a:accent5>
      <a:accent6>
        <a:srgbClr val="CAA4CC"/>
      </a:accent6>
      <a:hlink>
        <a:srgbClr val="2576B7"/>
      </a:hlink>
      <a:folHlink>
        <a:srgbClr val="C7770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2024-01-23T21:01:00Z</dcterms:created>
  <dcterms:modified xsi:type="dcterms:W3CDTF">2024-01-23T21:01:00Z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2024-01-23T21:01:45Z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ea851e37-d3a6-4f26-a07f-17bc28b1e5a6</vt:lpwstr>
  </property>
  <property fmtid="{D5CDD505-2E9C-101B-9397-08002B2CF9AE}" pid="8" name="MSIP_Label_7d24214e-5322-4789-8422-cbe411bc3a74_ContentBits">
    <vt:lpwstr>0</vt:lpwstr>
  </property>
</Properties>
</file>