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6488B05A" w:rsidR="008B4684" w:rsidRPr="00A34338" w:rsidRDefault="005A268A" w:rsidP="004F62F6">
      <w:pPr>
        <w:pStyle w:val="Heading1"/>
      </w:pPr>
      <w:r w:rsidRPr="00A34338">
        <w:t>Enable Innovation Through Culture</w:t>
      </w:r>
      <w:r w:rsidR="004F62F6" w:rsidRPr="00A34338">
        <w:t xml:space="preserve"> </w:t>
      </w:r>
      <w:r w:rsidR="0020649A" w:rsidRPr="00A34338">
        <w:t>Executive Briefing</w:t>
      </w:r>
    </w:p>
    <w:p w14:paraId="6D835752" w14:textId="31B2A4C7" w:rsidR="00150238" w:rsidRPr="00A34338" w:rsidRDefault="007152EF" w:rsidP="004F62F6">
      <w:pPr>
        <w:pStyle w:val="Heading3"/>
        <w:rPr>
          <w:rFonts w:eastAsia="Calibri"/>
        </w:rPr>
      </w:pPr>
      <w:r w:rsidRPr="00A34338">
        <w:rPr>
          <w:rFonts w:eastAsia="Calibri"/>
        </w:rPr>
        <w:t xml:space="preserve">Summary </w:t>
      </w:r>
    </w:p>
    <w:p w14:paraId="7D02312E" w14:textId="25EE6952" w:rsidR="007152EF" w:rsidRPr="00A34338" w:rsidRDefault="005A268A" w:rsidP="005A268A">
      <w:pPr>
        <w:rPr>
          <w:rFonts w:eastAsia="Calibri" w:cs="Arial"/>
          <w:sz w:val="22"/>
          <w:szCs w:val="22"/>
        </w:rPr>
      </w:pPr>
      <w:r w:rsidRPr="00A34338">
        <w:rPr>
          <w:rFonts w:eastAsia="Calibri" w:cs="Arial"/>
          <w:sz w:val="22"/>
          <w:szCs w:val="22"/>
        </w:rPr>
        <w:t>Not innovating is not an option – organizations need to do it to survive and thrive.</w:t>
      </w:r>
      <w:r w:rsidR="00A34338">
        <w:rPr>
          <w:rFonts w:eastAsia="Calibri" w:cs="Arial"/>
          <w:sz w:val="22"/>
          <w:szCs w:val="22"/>
        </w:rPr>
        <w:t xml:space="preserve"> </w:t>
      </w:r>
      <w:r w:rsidRPr="00A34338">
        <w:rPr>
          <w:rFonts w:eastAsia="Calibri" w:cs="Arial"/>
          <w:sz w:val="22"/>
          <w:szCs w:val="22"/>
        </w:rPr>
        <w:t>Spending money on innovation does not necessarily result in success. HR can play a strong role in aligning culture to drive innovation.</w:t>
      </w:r>
    </w:p>
    <w:p w14:paraId="367DAAAC" w14:textId="3C049E29" w:rsidR="007E7F4E" w:rsidRPr="00A34338" w:rsidRDefault="00801B44" w:rsidP="004F62F6">
      <w:pPr>
        <w:pStyle w:val="Heading3"/>
        <w:rPr>
          <w:sz w:val="22"/>
          <w:szCs w:val="22"/>
        </w:rPr>
      </w:pPr>
      <w:r w:rsidRPr="00A34338">
        <w:t>Our Recommendation</w:t>
      </w:r>
      <w:r w:rsidR="007E7F4E" w:rsidRPr="00A34338">
        <w:t xml:space="preserve"> </w:t>
      </w:r>
    </w:p>
    <w:p w14:paraId="7818770D" w14:textId="7F85F8B6" w:rsidR="005A268A" w:rsidRPr="00A34338" w:rsidRDefault="005A268A" w:rsidP="005A268A">
      <w:pPr>
        <w:pStyle w:val="Heading3"/>
        <w:numPr>
          <w:ilvl w:val="0"/>
          <w:numId w:val="24"/>
        </w:numPr>
        <w:spacing w:before="0"/>
        <w:rPr>
          <w:rFonts w:eastAsia="Calibri"/>
          <w:b w:val="0"/>
          <w:bCs w:val="0"/>
          <w:sz w:val="22"/>
          <w:szCs w:val="22"/>
        </w:rPr>
      </w:pPr>
      <w:r w:rsidRPr="00A34338">
        <w:rPr>
          <w:rFonts w:eastAsia="Calibri"/>
          <w:b w:val="0"/>
          <w:bCs w:val="0"/>
          <w:sz w:val="22"/>
          <w:szCs w:val="22"/>
        </w:rPr>
        <w:t xml:space="preserve">Engage stakeholders to understand the organization’s innovation goals and type(s) and gain buy-in for HR’s involvement. </w:t>
      </w:r>
    </w:p>
    <w:p w14:paraId="5D9C1F50" w14:textId="77777777" w:rsidR="005A268A" w:rsidRPr="00A34338" w:rsidRDefault="005A268A" w:rsidP="005A268A">
      <w:pPr>
        <w:pStyle w:val="Heading3"/>
        <w:numPr>
          <w:ilvl w:val="0"/>
          <w:numId w:val="24"/>
        </w:numPr>
        <w:spacing w:before="0"/>
        <w:rPr>
          <w:rFonts w:eastAsia="Calibri"/>
          <w:b w:val="0"/>
          <w:bCs w:val="0"/>
          <w:sz w:val="22"/>
          <w:szCs w:val="22"/>
        </w:rPr>
      </w:pPr>
      <w:r w:rsidRPr="00A34338">
        <w:rPr>
          <w:rFonts w:eastAsia="Calibri"/>
          <w:b w:val="0"/>
          <w:bCs w:val="0"/>
          <w:sz w:val="22"/>
          <w:szCs w:val="22"/>
        </w:rPr>
        <w:t>Identify the drivers that need to be improved and maintained to enable the organization’s innovation type(s).</w:t>
      </w:r>
    </w:p>
    <w:p w14:paraId="496A27FD" w14:textId="77777777" w:rsidR="005A268A" w:rsidRPr="00A34338" w:rsidRDefault="005A268A" w:rsidP="005A268A">
      <w:pPr>
        <w:pStyle w:val="Heading3"/>
        <w:numPr>
          <w:ilvl w:val="0"/>
          <w:numId w:val="24"/>
        </w:numPr>
        <w:spacing w:before="0"/>
        <w:rPr>
          <w:rFonts w:eastAsia="Calibri"/>
          <w:b w:val="0"/>
          <w:bCs w:val="0"/>
          <w:sz w:val="22"/>
          <w:szCs w:val="22"/>
        </w:rPr>
      </w:pPr>
      <w:r w:rsidRPr="00A34338">
        <w:rPr>
          <w:rFonts w:eastAsia="Calibri"/>
          <w:b w:val="0"/>
          <w:bCs w:val="0"/>
          <w:sz w:val="22"/>
          <w:szCs w:val="22"/>
        </w:rPr>
        <w:t>Plan to align HR programs to reinforce prioritized drivers.</w:t>
      </w:r>
    </w:p>
    <w:p w14:paraId="44026C07" w14:textId="088CEC48" w:rsidR="00150238" w:rsidRPr="00A34338" w:rsidRDefault="005A268A" w:rsidP="005A268A">
      <w:pPr>
        <w:pStyle w:val="Heading3"/>
      </w:pPr>
      <w:r w:rsidRPr="00A34338">
        <w:rPr>
          <w:rFonts w:eastAsia="Calibri"/>
          <w:b w:val="0"/>
          <w:bCs w:val="0"/>
          <w:sz w:val="22"/>
          <w:szCs w:val="22"/>
        </w:rPr>
        <w:t xml:space="preserve"> </w:t>
      </w:r>
      <w:r w:rsidR="00150238" w:rsidRPr="00A34338">
        <w:t xml:space="preserve">Client Challenge </w:t>
      </w:r>
    </w:p>
    <w:p w14:paraId="5AA0CC7B" w14:textId="77777777" w:rsidR="005A268A" w:rsidRPr="00A34338" w:rsidRDefault="005A268A" w:rsidP="005A268A">
      <w:pPr>
        <w:pStyle w:val="Heading3"/>
        <w:numPr>
          <w:ilvl w:val="0"/>
          <w:numId w:val="25"/>
        </w:numPr>
        <w:spacing w:before="0"/>
        <w:rPr>
          <w:rFonts w:eastAsia="Calibri"/>
          <w:b w:val="0"/>
          <w:bCs w:val="0"/>
          <w:sz w:val="22"/>
          <w:szCs w:val="22"/>
        </w:rPr>
      </w:pPr>
      <w:r w:rsidRPr="00A34338">
        <w:rPr>
          <w:rFonts w:eastAsia="Calibri"/>
          <w:b w:val="0"/>
          <w:bCs w:val="0"/>
          <w:sz w:val="22"/>
          <w:szCs w:val="22"/>
        </w:rPr>
        <w:t>Few HR departments enable their organization’s innovation efforts, resulting in a missed opportunity to be a strategic partner and accelerate results.</w:t>
      </w:r>
    </w:p>
    <w:p w14:paraId="65D171A3" w14:textId="07660E04" w:rsidR="005A268A" w:rsidRPr="00A34338" w:rsidRDefault="005A268A" w:rsidP="005A268A">
      <w:pPr>
        <w:pStyle w:val="Heading3"/>
        <w:numPr>
          <w:ilvl w:val="0"/>
          <w:numId w:val="25"/>
        </w:numPr>
        <w:spacing w:before="0"/>
        <w:rPr>
          <w:rFonts w:eastAsia="Calibri"/>
          <w:b w:val="0"/>
          <w:bCs w:val="0"/>
          <w:sz w:val="22"/>
          <w:szCs w:val="22"/>
        </w:rPr>
      </w:pPr>
      <w:r w:rsidRPr="00A34338">
        <w:rPr>
          <w:rFonts w:eastAsia="Calibri"/>
          <w:b w:val="0"/>
          <w:bCs w:val="0"/>
          <w:sz w:val="22"/>
          <w:szCs w:val="22"/>
        </w:rPr>
        <w:t xml:space="preserve">There are different types of innovation, and </w:t>
      </w:r>
      <w:r w:rsidR="00BA78C0" w:rsidRPr="00A34338">
        <w:rPr>
          <w:rFonts w:eastAsia="Calibri"/>
          <w:b w:val="0"/>
          <w:bCs w:val="0"/>
          <w:sz w:val="22"/>
          <w:szCs w:val="22"/>
        </w:rPr>
        <w:t>d</w:t>
      </w:r>
      <w:r w:rsidRPr="00A34338">
        <w:rPr>
          <w:rFonts w:eastAsia="Calibri"/>
          <w:b w:val="0"/>
          <w:bCs w:val="0"/>
          <w:sz w:val="22"/>
          <w:szCs w:val="22"/>
        </w:rPr>
        <w:t>ifferent cultural drivers are critical for each</w:t>
      </w:r>
      <w:r w:rsidR="00E41EE4">
        <w:rPr>
          <w:rFonts w:eastAsia="Calibri"/>
          <w:b w:val="0"/>
          <w:bCs w:val="0"/>
          <w:sz w:val="22"/>
          <w:szCs w:val="22"/>
        </w:rPr>
        <w:t xml:space="preserve"> one</w:t>
      </w:r>
      <w:r w:rsidRPr="00A34338">
        <w:rPr>
          <w:rFonts w:eastAsia="Calibri"/>
          <w:b w:val="0"/>
          <w:bCs w:val="0"/>
          <w:sz w:val="22"/>
          <w:szCs w:val="22"/>
        </w:rPr>
        <w:t>. Understanding the type(s) of inno</w:t>
      </w:r>
      <w:r w:rsidR="00A34338">
        <w:rPr>
          <w:rFonts w:eastAsia="Calibri"/>
          <w:b w:val="0"/>
          <w:bCs w:val="0"/>
          <w:sz w:val="22"/>
          <w:szCs w:val="22"/>
        </w:rPr>
        <w:t>vation an organization is using</w:t>
      </w:r>
      <w:r w:rsidRPr="00A34338">
        <w:rPr>
          <w:rFonts w:eastAsia="Calibri"/>
          <w:b w:val="0"/>
          <w:bCs w:val="0"/>
          <w:sz w:val="22"/>
          <w:szCs w:val="22"/>
        </w:rPr>
        <w:t xml:space="preserve"> allows HR to determine where to focus their efforts.</w:t>
      </w:r>
    </w:p>
    <w:p w14:paraId="1A32E09A" w14:textId="08051016" w:rsidR="00150238" w:rsidRPr="00E41EE4" w:rsidRDefault="005A268A" w:rsidP="005A268A">
      <w:pPr>
        <w:pStyle w:val="Heading3"/>
        <w:rPr>
          <w:szCs w:val="20"/>
        </w:rPr>
      </w:pPr>
      <w:r w:rsidRPr="00E41EE4">
        <w:rPr>
          <w:rFonts w:eastAsia="Calibri"/>
          <w:b w:val="0"/>
          <w:bCs w:val="0"/>
          <w:sz w:val="22"/>
          <w:szCs w:val="22"/>
        </w:rPr>
        <w:t xml:space="preserve"> </w:t>
      </w:r>
      <w:r w:rsidR="00150238" w:rsidRPr="00E41EE4">
        <w:t>Critical Insight</w:t>
      </w:r>
      <w:r w:rsidR="00150238" w:rsidRPr="00E41EE4">
        <w:rPr>
          <w:szCs w:val="20"/>
        </w:rPr>
        <w:t xml:space="preserve"> </w:t>
      </w:r>
    </w:p>
    <w:p w14:paraId="006807D2" w14:textId="66362D9A" w:rsidR="005A268A" w:rsidRPr="00E41EE4" w:rsidRDefault="005A268A" w:rsidP="005A268A">
      <w:pPr>
        <w:pStyle w:val="Heading3"/>
        <w:numPr>
          <w:ilvl w:val="0"/>
          <w:numId w:val="26"/>
        </w:numPr>
        <w:spacing w:before="0"/>
      </w:pPr>
      <w:r w:rsidRPr="00E41EE4">
        <w:rPr>
          <w:rFonts w:eastAsia="Calibri"/>
          <w:b w:val="0"/>
          <w:bCs w:val="0"/>
          <w:sz w:val="22"/>
          <w:szCs w:val="22"/>
        </w:rPr>
        <w:t xml:space="preserve">Enabling innovation is a balancing act. Take the time to understand the type(s) your organization is using to focus HR’s resources where they will have the biggest impact. </w:t>
      </w:r>
    </w:p>
    <w:p w14:paraId="002B118E" w14:textId="6D31A33F" w:rsidR="00111E5A" w:rsidRDefault="00111E5A" w:rsidP="00111E5A">
      <w:pPr>
        <w:rPr>
          <w:noProof/>
        </w:rPr>
      </w:pPr>
    </w:p>
    <w:p w14:paraId="24508DDE" w14:textId="3EBE1192" w:rsidR="00111E5A" w:rsidRPr="00111E5A" w:rsidRDefault="00111E5A" w:rsidP="00111E5A">
      <w:r w:rsidRPr="00111E5A">
        <w:rPr>
          <w:noProof/>
        </w:rPr>
        <w:drawing>
          <wp:inline distT="0" distB="0" distL="0" distR="0" wp14:anchorId="1CB4D2E7" wp14:editId="1B1751F9">
            <wp:extent cx="6480810" cy="3104515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0383" w14:textId="2B20AC57" w:rsidR="005A268A" w:rsidRPr="005A268A" w:rsidRDefault="005A268A" w:rsidP="005A268A">
      <w:pPr>
        <w:rPr>
          <w:rFonts w:eastAsia="Calibri"/>
        </w:rPr>
      </w:pPr>
    </w:p>
    <w:p w14:paraId="4B6566FB" w14:textId="3200B7E4" w:rsidR="007E7F4E" w:rsidRPr="007E7F4E" w:rsidRDefault="007152EF" w:rsidP="00B53DE4">
      <w:pPr>
        <w:pStyle w:val="Heading3"/>
        <w:spacing w:before="0"/>
      </w:pPr>
      <w:r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7B9C5DD7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5A268A" w:rsidRPr="005A268A">
              <w:rPr>
                <w:rFonts w:cs="Arial"/>
                <w:sz w:val="22"/>
                <w:szCs w:val="22"/>
              </w:rPr>
              <w:t>Clarify your organization’s innovation goals and type(s)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FC4B" w14:textId="756F5DBB" w:rsidR="00C02578" w:rsidRPr="005A268A" w:rsidRDefault="00B53DE4" w:rsidP="005A268A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Familiarize</w:t>
            </w:r>
            <w:r w:rsidRPr="005A268A">
              <w:rPr>
                <w:rFonts w:cs="Arial"/>
                <w:sz w:val="22"/>
                <w:szCs w:val="22"/>
                <w:shd w:val="clear" w:color="auto" w:fill="FFFFFF"/>
              </w:rPr>
              <w:t xml:space="preserve"> yourself with the four types of innovation. </w:t>
            </w:r>
          </w:p>
          <w:p w14:paraId="527E99CB" w14:textId="67CF0DC1" w:rsidR="00C02578" w:rsidRPr="005A268A" w:rsidRDefault="00B53DE4" w:rsidP="005A268A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Engage</w:t>
            </w:r>
            <w:r w:rsidRPr="005A268A">
              <w:rPr>
                <w:rFonts w:cs="Arial"/>
                <w:sz w:val="22"/>
                <w:szCs w:val="22"/>
                <w:shd w:val="clear" w:color="auto" w:fill="FFFFFF"/>
              </w:rPr>
              <w:t xml:space="preserve"> stakeholders and clarif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y</w:t>
            </w:r>
            <w:r w:rsidRPr="005A268A">
              <w:rPr>
                <w:rFonts w:cs="Arial"/>
                <w:sz w:val="22"/>
                <w:szCs w:val="22"/>
                <w:shd w:val="clear" w:color="auto" w:fill="FFFFFF"/>
              </w:rPr>
              <w:t xml:space="preserve"> the organization’s innovation goals. </w:t>
            </w:r>
          </w:p>
          <w:p w14:paraId="5DDEE4B3" w14:textId="2421EA09" w:rsidR="00C02578" w:rsidRPr="005A268A" w:rsidRDefault="00B53DE4" w:rsidP="005A268A">
            <w:pPr>
              <w:numPr>
                <w:ilvl w:val="0"/>
                <w:numId w:val="10"/>
              </w:numPr>
              <w:spacing w:after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Identify</w:t>
            </w:r>
            <w:r w:rsidRPr="005A268A">
              <w:rPr>
                <w:rFonts w:cs="Arial"/>
                <w:sz w:val="22"/>
                <w:szCs w:val="22"/>
                <w:shd w:val="clear" w:color="auto" w:fill="FFFFFF"/>
              </w:rPr>
              <w:t xml:space="preserve"> the innovation type(s) HR needs to enable. </w:t>
            </w:r>
          </w:p>
          <w:p w14:paraId="2D413A71" w14:textId="77777777" w:rsidR="007E7F4E" w:rsidRPr="00C477D9" w:rsidRDefault="007E7F4E" w:rsidP="00421D70">
            <w:p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5241D083" w14:textId="77777777" w:rsidR="007E7F4E" w:rsidRPr="005A268A" w:rsidRDefault="005A268A" w:rsidP="005A268A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5A268A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 xml:space="preserve">Innovation Assessment Tool </w:t>
            </w:r>
          </w:p>
          <w:p w14:paraId="0A1AFD94" w14:textId="70544C4D" w:rsidR="005A268A" w:rsidRPr="005A268A" w:rsidRDefault="005A268A" w:rsidP="005A268A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/>
                <w:i/>
                <w:sz w:val="22"/>
                <w:szCs w:val="22"/>
              </w:rPr>
            </w:pPr>
            <w:r w:rsidRPr="005A268A">
              <w:rPr>
                <w:rFonts w:cs="Arial"/>
                <w:i/>
                <w:sz w:val="22"/>
                <w:szCs w:val="22"/>
              </w:rPr>
              <w:t>Case Studies: Enable Innovation Through Culture</w:t>
            </w:r>
          </w:p>
        </w:tc>
      </w:tr>
      <w:tr w:rsidR="007E7F4E" w:rsidRPr="007152E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09485A40" w:rsidR="007E7F4E" w:rsidRPr="00C477D9" w:rsidRDefault="007E7F4E" w:rsidP="005A26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5A268A" w:rsidRPr="005A268A">
              <w:rPr>
                <w:rFonts w:cs="Arial"/>
                <w:sz w:val="22"/>
                <w:szCs w:val="22"/>
              </w:rPr>
              <w:t xml:space="preserve">Identify the innovation drivers </w:t>
            </w:r>
            <w:r w:rsidR="005A268A">
              <w:rPr>
                <w:rFonts w:cs="Arial"/>
                <w:sz w:val="22"/>
                <w:szCs w:val="22"/>
              </w:rPr>
              <w:t>HR</w:t>
            </w:r>
            <w:r w:rsidR="005A268A" w:rsidRPr="005A268A">
              <w:rPr>
                <w:rFonts w:cs="Arial"/>
                <w:sz w:val="22"/>
                <w:szCs w:val="22"/>
              </w:rPr>
              <w:t xml:space="preserve"> needs to enable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0045" w14:textId="441C2586" w:rsidR="005A268A" w:rsidRPr="005A268A" w:rsidRDefault="005A268A" w:rsidP="005A268A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5A268A">
              <w:rPr>
                <w:rFonts w:cs="Arial"/>
                <w:sz w:val="22"/>
                <w:szCs w:val="22"/>
                <w:lang w:val="en-CA"/>
              </w:rPr>
              <w:t xml:space="preserve">Familiarize yourself with the drivers of a culture of innovation. </w:t>
            </w:r>
          </w:p>
          <w:p w14:paraId="653057A4" w14:textId="038AF1CF" w:rsidR="005A268A" w:rsidRPr="005A268A" w:rsidRDefault="00B53DE4" w:rsidP="005A268A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Assess</w:t>
            </w:r>
            <w:r w:rsidR="005A268A" w:rsidRPr="005A268A">
              <w:rPr>
                <w:rFonts w:cs="Arial"/>
                <w:sz w:val="22"/>
                <w:szCs w:val="22"/>
                <w:lang w:val="en-CA"/>
              </w:rPr>
              <w:t xml:space="preserve"> the organization and HR’s alignment to the drivers. </w:t>
            </w:r>
          </w:p>
          <w:p w14:paraId="0A9F2318" w14:textId="5318952B" w:rsidR="005A268A" w:rsidRPr="005A268A" w:rsidRDefault="005A268A" w:rsidP="005A268A">
            <w:pPr>
              <w:numPr>
                <w:ilvl w:val="0"/>
                <w:numId w:val="12"/>
              </w:numPr>
              <w:spacing w:after="120"/>
              <w:rPr>
                <w:rFonts w:cs="Arial"/>
                <w:sz w:val="22"/>
                <w:szCs w:val="22"/>
                <w:lang w:val="en-CA"/>
              </w:rPr>
            </w:pPr>
            <w:r w:rsidRPr="005A268A">
              <w:rPr>
                <w:rFonts w:cs="Arial"/>
                <w:sz w:val="22"/>
                <w:szCs w:val="22"/>
                <w:lang w:val="en-CA"/>
              </w:rPr>
              <w:t xml:space="preserve">Prioritize drivers to improve and </w:t>
            </w:r>
            <w:r w:rsidR="00DF2E8C">
              <w:rPr>
                <w:rFonts w:cs="Arial"/>
                <w:sz w:val="22"/>
                <w:szCs w:val="22"/>
                <w:lang w:val="en-CA"/>
              </w:rPr>
              <w:t xml:space="preserve">to </w:t>
            </w:r>
            <w:r w:rsidRPr="005A268A">
              <w:rPr>
                <w:rFonts w:cs="Arial"/>
                <w:sz w:val="22"/>
                <w:szCs w:val="22"/>
                <w:lang w:val="en-CA"/>
              </w:rPr>
              <w:t xml:space="preserve">maintain. </w:t>
            </w:r>
          </w:p>
          <w:p w14:paraId="1BBFCD43" w14:textId="77777777" w:rsidR="007E7F4E" w:rsidRPr="00C477D9" w:rsidRDefault="007E7F4E" w:rsidP="00421D70">
            <w:pPr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28324953" w14:textId="67D3785F" w:rsidR="007E7F4E" w:rsidRPr="00C477D9" w:rsidRDefault="005A268A" w:rsidP="005A268A">
            <w:pPr>
              <w:numPr>
                <w:ilvl w:val="0"/>
                <w:numId w:val="13"/>
              </w:numPr>
              <w:spacing w:after="120"/>
              <w:rPr>
                <w:rFonts w:cs="Arial"/>
                <w:sz w:val="22"/>
                <w:szCs w:val="22"/>
                <w:lang w:val="en-CA"/>
              </w:rPr>
            </w:pPr>
            <w:r w:rsidRPr="005A268A">
              <w:rPr>
                <w:rFonts w:cs="Arial"/>
                <w:i/>
                <w:iCs/>
                <w:sz w:val="22"/>
                <w:szCs w:val="22"/>
                <w:lang w:val="en-CA"/>
              </w:rPr>
              <w:t>Innovation Assessment Tool</w:t>
            </w:r>
          </w:p>
        </w:tc>
      </w:tr>
      <w:tr w:rsidR="007E7F4E" w:rsidRPr="007152E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00C4C83F" w:rsidR="007E7F4E" w:rsidRPr="00C477D9" w:rsidRDefault="007E7F4E" w:rsidP="005A26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5A268A" w:rsidRPr="005A268A">
              <w:rPr>
                <w:rFonts w:cs="Arial"/>
                <w:sz w:val="22"/>
                <w:szCs w:val="22"/>
              </w:rPr>
              <w:t xml:space="preserve">Align </w:t>
            </w:r>
            <w:r w:rsidR="005A268A">
              <w:rPr>
                <w:rFonts w:cs="Arial"/>
                <w:sz w:val="22"/>
                <w:szCs w:val="22"/>
              </w:rPr>
              <w:t>HR</w:t>
            </w:r>
            <w:r w:rsidR="005A268A" w:rsidRPr="005A268A">
              <w:rPr>
                <w:rFonts w:cs="Arial"/>
                <w:sz w:val="22"/>
                <w:szCs w:val="22"/>
              </w:rPr>
              <w:t xml:space="preserve"> programs to innovation drivers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AAC0" w14:textId="31E7ACB3" w:rsidR="005A268A" w:rsidRPr="005A268A" w:rsidRDefault="00B53DE4" w:rsidP="005A268A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Define</w:t>
            </w:r>
            <w:r w:rsidR="005A268A" w:rsidRPr="005A268A">
              <w:rPr>
                <w:rFonts w:cs="Arial"/>
                <w:sz w:val="22"/>
                <w:szCs w:val="22"/>
                <w:lang w:val="en-CA"/>
              </w:rPr>
              <w:t xml:space="preserve"> behaviors for prioritized innovation drivers. </w:t>
            </w:r>
          </w:p>
          <w:p w14:paraId="60E17691" w14:textId="389B2591" w:rsidR="005A268A" w:rsidRPr="005A268A" w:rsidRDefault="00DF2E8C" w:rsidP="005A268A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Create a high-</w:t>
            </w:r>
            <w:r w:rsidR="005A268A" w:rsidRPr="005A268A">
              <w:rPr>
                <w:rFonts w:cs="Arial"/>
                <w:sz w:val="22"/>
                <w:szCs w:val="22"/>
                <w:lang w:val="en-CA"/>
              </w:rPr>
              <w:t xml:space="preserve">level action plan to align HR programs to prioritized drivers. </w:t>
            </w:r>
          </w:p>
          <w:p w14:paraId="448E8B51" w14:textId="4D9FC268" w:rsidR="005A268A" w:rsidRPr="005A268A" w:rsidRDefault="00B53DE4" w:rsidP="005A268A">
            <w:pPr>
              <w:numPr>
                <w:ilvl w:val="0"/>
                <w:numId w:val="14"/>
              </w:numPr>
              <w:spacing w:after="120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Establish</w:t>
            </w:r>
            <w:r w:rsidR="005A268A" w:rsidRPr="005A268A">
              <w:rPr>
                <w:rFonts w:cs="Arial"/>
                <w:sz w:val="22"/>
                <w:szCs w:val="22"/>
                <w:lang w:val="en-CA"/>
              </w:rPr>
              <w:t xml:space="preserve"> metrics to measure success. </w:t>
            </w:r>
          </w:p>
          <w:p w14:paraId="319B4A5D" w14:textId="77777777" w:rsidR="007E7F4E" w:rsidRPr="00C477D9" w:rsidRDefault="007E7F4E" w:rsidP="00421D70">
            <w:pPr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2304A055" w14:textId="77777777" w:rsidR="007E7F4E" w:rsidRPr="005A268A" w:rsidRDefault="005A268A" w:rsidP="005A268A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CA"/>
              </w:rPr>
            </w:pPr>
            <w:r w:rsidRPr="005A268A">
              <w:rPr>
                <w:rFonts w:cs="Arial"/>
                <w:i/>
                <w:iCs/>
                <w:sz w:val="22"/>
                <w:szCs w:val="22"/>
                <w:lang w:val="en-CA"/>
              </w:rPr>
              <w:t>Innovation Assessment Tool</w:t>
            </w:r>
          </w:p>
          <w:p w14:paraId="3A1DB1E9" w14:textId="77777777" w:rsidR="005A268A" w:rsidRPr="005A268A" w:rsidRDefault="005A268A" w:rsidP="005A268A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5A268A">
              <w:rPr>
                <w:rFonts w:cs="Arial"/>
                <w:i/>
                <w:iCs/>
                <w:sz w:val="22"/>
                <w:szCs w:val="22"/>
                <w:lang w:val="en-CA"/>
              </w:rPr>
              <w:t>Comprehensive Competency Library</w:t>
            </w:r>
          </w:p>
          <w:p w14:paraId="1F120F3F" w14:textId="77777777" w:rsidR="005A268A" w:rsidRPr="005A268A" w:rsidRDefault="005A268A" w:rsidP="005A268A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5A268A">
              <w:rPr>
                <w:rFonts w:cs="Arial"/>
                <w:i/>
                <w:iCs/>
                <w:sz w:val="22"/>
                <w:szCs w:val="22"/>
                <w:lang w:val="en-CA"/>
              </w:rPr>
              <w:t>HR Action &amp; Communication Plan</w:t>
            </w:r>
          </w:p>
          <w:p w14:paraId="5B7F046D" w14:textId="77777777" w:rsidR="005A268A" w:rsidRPr="005A268A" w:rsidRDefault="005A268A" w:rsidP="005A268A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CA"/>
              </w:rPr>
            </w:pPr>
            <w:r w:rsidRPr="005A268A">
              <w:rPr>
                <w:rFonts w:cs="Arial"/>
                <w:i/>
                <w:iCs/>
                <w:sz w:val="22"/>
                <w:szCs w:val="22"/>
                <w:lang w:val="en-CA"/>
              </w:rPr>
              <w:t>HR Metrics Library</w:t>
            </w:r>
          </w:p>
          <w:p w14:paraId="3BCC303B" w14:textId="2AB16CE3" w:rsidR="005A268A" w:rsidRPr="005A268A" w:rsidRDefault="005A268A" w:rsidP="005A268A">
            <w:pPr>
              <w:numPr>
                <w:ilvl w:val="0"/>
                <w:numId w:val="15"/>
              </w:numPr>
              <w:spacing w:after="120"/>
              <w:rPr>
                <w:rFonts w:cs="Arial"/>
                <w:i/>
                <w:sz w:val="22"/>
                <w:szCs w:val="22"/>
                <w:lang w:val="en-CA"/>
              </w:rPr>
            </w:pPr>
            <w:r w:rsidRPr="005A268A">
              <w:rPr>
                <w:rFonts w:cs="Arial"/>
                <w:i/>
                <w:sz w:val="22"/>
                <w:szCs w:val="22"/>
                <w:lang w:val="en-CA"/>
              </w:rPr>
              <w:t>Workshop: Enable Innovation Through Culture</w:t>
            </w:r>
          </w:p>
        </w:tc>
      </w:tr>
    </w:tbl>
    <w:p w14:paraId="7683116C" w14:textId="77777777" w:rsidR="005A268A" w:rsidRDefault="005A268A" w:rsidP="00BA7D52">
      <w:pPr>
        <w:jc w:val="center"/>
      </w:pPr>
    </w:p>
    <w:p w14:paraId="495AC41B" w14:textId="77777777" w:rsidR="005A268A" w:rsidRDefault="005A268A" w:rsidP="00BA7D52">
      <w:pPr>
        <w:jc w:val="center"/>
      </w:pPr>
    </w:p>
    <w:p w14:paraId="51D5375B" w14:textId="1D405DCA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1573" w14:textId="77777777" w:rsidR="00AB6474" w:rsidRDefault="00AB6474">
      <w:r>
        <w:separator/>
      </w:r>
    </w:p>
  </w:endnote>
  <w:endnote w:type="continuationSeparator" w:id="0">
    <w:p w14:paraId="321B20C0" w14:textId="77777777" w:rsidR="00AB6474" w:rsidRDefault="00AB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952F8C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68D1" w14:textId="77777777" w:rsidR="00AB6474" w:rsidRDefault="00AB6474">
      <w:r>
        <w:separator/>
      </w:r>
    </w:p>
  </w:footnote>
  <w:footnote w:type="continuationSeparator" w:id="0">
    <w:p w14:paraId="2D7DBC38" w14:textId="77777777" w:rsidR="00AB6474" w:rsidRDefault="00AB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3D39B5"/>
    <w:multiLevelType w:val="hybridMultilevel"/>
    <w:tmpl w:val="226E230E"/>
    <w:lvl w:ilvl="0" w:tplc="1248CC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DA1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52DE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F4AC2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DA80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AED2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BC83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BEE0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02D5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61F35"/>
    <w:multiLevelType w:val="hybridMultilevel"/>
    <w:tmpl w:val="BD68B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D27450"/>
    <w:multiLevelType w:val="hybridMultilevel"/>
    <w:tmpl w:val="8640AB26"/>
    <w:lvl w:ilvl="0" w:tplc="FF96E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27AA2"/>
    <w:multiLevelType w:val="hybridMultilevel"/>
    <w:tmpl w:val="FB52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2"/>
  </w:num>
  <w:num w:numId="5">
    <w:abstractNumId w:val="6"/>
  </w:num>
  <w:num w:numId="6">
    <w:abstractNumId w:val="25"/>
  </w:num>
  <w:num w:numId="7">
    <w:abstractNumId w:val="15"/>
  </w:num>
  <w:num w:numId="8">
    <w:abstractNumId w:val="23"/>
  </w:num>
  <w:num w:numId="9">
    <w:abstractNumId w:val="21"/>
  </w:num>
  <w:num w:numId="10">
    <w:abstractNumId w:val="1"/>
  </w:num>
  <w:num w:numId="11">
    <w:abstractNumId w:val="5"/>
  </w:num>
  <w:num w:numId="12">
    <w:abstractNumId w:val="16"/>
  </w:num>
  <w:num w:numId="13">
    <w:abstractNumId w:val="20"/>
  </w:num>
  <w:num w:numId="14">
    <w:abstractNumId w:val="14"/>
  </w:num>
  <w:num w:numId="15">
    <w:abstractNumId w:val="0"/>
  </w:num>
  <w:num w:numId="16">
    <w:abstractNumId w:val="8"/>
  </w:num>
  <w:num w:numId="17">
    <w:abstractNumId w:val="11"/>
  </w:num>
  <w:num w:numId="18">
    <w:abstractNumId w:val="24"/>
  </w:num>
  <w:num w:numId="19">
    <w:abstractNumId w:val="9"/>
  </w:num>
  <w:num w:numId="20">
    <w:abstractNumId w:val="17"/>
  </w:num>
  <w:num w:numId="21">
    <w:abstractNumId w:val="10"/>
  </w:num>
  <w:num w:numId="22">
    <w:abstractNumId w:val="12"/>
  </w:num>
  <w:num w:numId="23">
    <w:abstractNumId w:val="3"/>
  </w:num>
  <w:num w:numId="24">
    <w:abstractNumId w:val="4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3B26"/>
    <w:rsid w:val="0003667F"/>
    <w:rsid w:val="00077963"/>
    <w:rsid w:val="000D63E7"/>
    <w:rsid w:val="00111E5A"/>
    <w:rsid w:val="00134035"/>
    <w:rsid w:val="00150238"/>
    <w:rsid w:val="00186D07"/>
    <w:rsid w:val="001E33A1"/>
    <w:rsid w:val="001F431F"/>
    <w:rsid w:val="0020649A"/>
    <w:rsid w:val="00234116"/>
    <w:rsid w:val="002344C3"/>
    <w:rsid w:val="00253948"/>
    <w:rsid w:val="002C17B1"/>
    <w:rsid w:val="002C6A38"/>
    <w:rsid w:val="002D034A"/>
    <w:rsid w:val="003018D3"/>
    <w:rsid w:val="00343D15"/>
    <w:rsid w:val="00364660"/>
    <w:rsid w:val="004069F4"/>
    <w:rsid w:val="00455B7B"/>
    <w:rsid w:val="00486B78"/>
    <w:rsid w:val="00492F5D"/>
    <w:rsid w:val="004D32EB"/>
    <w:rsid w:val="004F57CC"/>
    <w:rsid w:val="004F62F6"/>
    <w:rsid w:val="00514649"/>
    <w:rsid w:val="005328F4"/>
    <w:rsid w:val="005A268A"/>
    <w:rsid w:val="005C7852"/>
    <w:rsid w:val="0061655C"/>
    <w:rsid w:val="006471E7"/>
    <w:rsid w:val="006B0CA8"/>
    <w:rsid w:val="00701BB0"/>
    <w:rsid w:val="007152EF"/>
    <w:rsid w:val="00715498"/>
    <w:rsid w:val="00775EA1"/>
    <w:rsid w:val="007E7F4E"/>
    <w:rsid w:val="007F3BE9"/>
    <w:rsid w:val="00801B44"/>
    <w:rsid w:val="00803CE4"/>
    <w:rsid w:val="0081572D"/>
    <w:rsid w:val="00830085"/>
    <w:rsid w:val="008556FB"/>
    <w:rsid w:val="008B4684"/>
    <w:rsid w:val="008B6398"/>
    <w:rsid w:val="008C5E54"/>
    <w:rsid w:val="008F5841"/>
    <w:rsid w:val="00923F3F"/>
    <w:rsid w:val="00952F8C"/>
    <w:rsid w:val="0096410E"/>
    <w:rsid w:val="00A15BAB"/>
    <w:rsid w:val="00A34338"/>
    <w:rsid w:val="00A761A0"/>
    <w:rsid w:val="00AB6474"/>
    <w:rsid w:val="00AC45C3"/>
    <w:rsid w:val="00B53DE4"/>
    <w:rsid w:val="00BA78C0"/>
    <w:rsid w:val="00BA7D52"/>
    <w:rsid w:val="00C02578"/>
    <w:rsid w:val="00C140DD"/>
    <w:rsid w:val="00C477D9"/>
    <w:rsid w:val="00C47B87"/>
    <w:rsid w:val="00C50C04"/>
    <w:rsid w:val="00C8415D"/>
    <w:rsid w:val="00CA08B6"/>
    <w:rsid w:val="00CA0EDC"/>
    <w:rsid w:val="00CB15B0"/>
    <w:rsid w:val="00D0516C"/>
    <w:rsid w:val="00D206DA"/>
    <w:rsid w:val="00D92959"/>
    <w:rsid w:val="00D97422"/>
    <w:rsid w:val="00DB120E"/>
    <w:rsid w:val="00DD26E1"/>
    <w:rsid w:val="00DF2E8C"/>
    <w:rsid w:val="00DF35DF"/>
    <w:rsid w:val="00E41EE4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27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55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79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84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74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09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83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12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47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52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173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32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533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90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9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6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9DBE50-9873-4C22-9F1E-6155B8BA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2022-02-08T16:00:00Z</dcterms:created>
  <dcterms:modified xsi:type="dcterms:W3CDTF">2022-02-08T16:00:00Z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2022-02-08T16:00:24Z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37900ea6-44ee-4120-bfc1-f2e5e9689f73</vt:lpwstr>
  </property>
  <property fmtid="{D5CDD505-2E9C-101B-9397-08002B2CF9AE}" pid="8" name="MSIP_Label_7d24214e-5322-4789-8422-cbe411bc3a74_ContentBits">
    <vt:lpwstr>0</vt:lpwstr>
  </property>
</Properties>
</file>