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3A789FF9" w:rsidR="008B4684" w:rsidRPr="00EC3C22" w:rsidRDefault="005F7A03" w:rsidP="004F62F6">
      <w:pPr>
        <w:pStyle w:val="Heading1"/>
        <w:rPr>
          <w:color w:val="000000" w:themeColor="text1"/>
        </w:rPr>
      </w:pPr>
      <w:r w:rsidRPr="00EC3C22">
        <w:rPr>
          <w:color w:val="000000" w:themeColor="text1"/>
        </w:rPr>
        <w:t>Build a Customized Campus Recruitment Program</w:t>
      </w:r>
      <w:r w:rsidR="004F62F6" w:rsidRPr="00EC3C22">
        <w:rPr>
          <w:color w:val="000000" w:themeColor="text1"/>
        </w:rPr>
        <w:t xml:space="preserve"> </w:t>
      </w:r>
      <w:r w:rsidR="0020649A" w:rsidRPr="00EC3C22">
        <w:rPr>
          <w:color w:val="000000" w:themeColor="text1"/>
        </w:rPr>
        <w:t>Executive Briefing</w:t>
      </w:r>
    </w:p>
    <w:p w14:paraId="6D835752" w14:textId="31B2A4C7" w:rsidR="00150238" w:rsidRPr="00EC3C22" w:rsidRDefault="007152EF" w:rsidP="004F62F6">
      <w:pPr>
        <w:pStyle w:val="Heading3"/>
        <w:rPr>
          <w:rFonts w:eastAsia="Calibri"/>
          <w:color w:val="000000" w:themeColor="text1"/>
        </w:rPr>
      </w:pPr>
      <w:r w:rsidRPr="00EC3C22">
        <w:rPr>
          <w:rFonts w:eastAsia="Calibri"/>
          <w:color w:val="000000" w:themeColor="text1"/>
        </w:rPr>
        <w:t xml:space="preserve">Summary </w:t>
      </w:r>
    </w:p>
    <w:p w14:paraId="7D02312E" w14:textId="1C76972B" w:rsidR="007152EF" w:rsidRPr="00EC3C22" w:rsidRDefault="005F7A03" w:rsidP="005F7A03">
      <w:pPr>
        <w:rPr>
          <w:rFonts w:cs="Arial"/>
          <w:color w:val="000000" w:themeColor="text1"/>
          <w:sz w:val="22"/>
          <w:szCs w:val="22"/>
          <w:lang w:val="en-CA"/>
        </w:rPr>
      </w:pPr>
      <w:r w:rsidRPr="00EC3C22">
        <w:rPr>
          <w:rFonts w:eastAsia="Calibri" w:cs="Arial"/>
          <w:color w:val="000000" w:themeColor="text1"/>
          <w:sz w:val="22"/>
          <w:szCs w:val="22"/>
        </w:rPr>
        <w:t>Campuses are a great source of talent, but organizations don’t effectively engage with schools to target the right talent. Organizations continue to use traditional recruitment sourcing methods</w:t>
      </w:r>
      <w:r w:rsidR="00C64347" w:rsidRPr="00EC3C22">
        <w:rPr>
          <w:rFonts w:eastAsia="Calibri" w:cs="Arial"/>
          <w:color w:val="000000" w:themeColor="text1"/>
          <w:sz w:val="22"/>
          <w:szCs w:val="22"/>
        </w:rPr>
        <w:t>,</w:t>
      </w:r>
      <w:r w:rsidRPr="00EC3C22">
        <w:rPr>
          <w:rFonts w:eastAsia="Calibri" w:cs="Arial"/>
          <w:color w:val="000000" w:themeColor="text1"/>
          <w:sz w:val="22"/>
          <w:szCs w:val="22"/>
        </w:rPr>
        <w:t xml:space="preserve"> which are not the most effective way to attract new graduates.</w:t>
      </w:r>
    </w:p>
    <w:p w14:paraId="367DAAAC" w14:textId="3C049E29" w:rsidR="007E7F4E" w:rsidRPr="00EC3C22" w:rsidRDefault="00801B44" w:rsidP="004F62F6">
      <w:pPr>
        <w:pStyle w:val="Heading3"/>
        <w:rPr>
          <w:color w:val="000000" w:themeColor="text1"/>
          <w:sz w:val="22"/>
          <w:szCs w:val="22"/>
        </w:rPr>
      </w:pPr>
      <w:r w:rsidRPr="00EC3C22">
        <w:rPr>
          <w:color w:val="000000" w:themeColor="text1"/>
        </w:rPr>
        <w:t>Our Recommendation</w:t>
      </w:r>
      <w:r w:rsidR="007E7F4E" w:rsidRPr="00EC3C22">
        <w:rPr>
          <w:color w:val="000000" w:themeColor="text1"/>
        </w:rPr>
        <w:t xml:space="preserve"> </w:t>
      </w:r>
    </w:p>
    <w:p w14:paraId="5B4A7CD3" w14:textId="77777777" w:rsidR="005F7A03" w:rsidRPr="007621BF" w:rsidRDefault="005F7A03" w:rsidP="00432317">
      <w:pPr>
        <w:pStyle w:val="ListParagraph"/>
        <w:numPr>
          <w:ilvl w:val="0"/>
          <w:numId w:val="28"/>
        </w:numPr>
        <w:rPr>
          <w:rFonts w:eastAsia="Calibri"/>
          <w:b/>
          <w:bCs/>
          <w:sz w:val="22"/>
          <w:szCs w:val="28"/>
        </w:rPr>
      </w:pPr>
      <w:r w:rsidRPr="007621BF">
        <w:rPr>
          <w:rFonts w:eastAsia="Calibri"/>
          <w:sz w:val="22"/>
          <w:szCs w:val="28"/>
        </w:rPr>
        <w:t xml:space="preserve">Use research and school relationships to build a planful and targeted campus recruitment program. </w:t>
      </w:r>
    </w:p>
    <w:p w14:paraId="53A3859D" w14:textId="77777777" w:rsidR="005F7A03" w:rsidRPr="007621BF" w:rsidRDefault="005F7A03" w:rsidP="00432317">
      <w:pPr>
        <w:pStyle w:val="ListParagraph"/>
        <w:numPr>
          <w:ilvl w:val="0"/>
          <w:numId w:val="28"/>
        </w:numPr>
        <w:rPr>
          <w:rFonts w:eastAsia="Calibri"/>
          <w:b/>
          <w:bCs/>
          <w:sz w:val="22"/>
          <w:szCs w:val="28"/>
        </w:rPr>
      </w:pPr>
      <w:r w:rsidRPr="007621BF">
        <w:rPr>
          <w:rFonts w:eastAsia="Calibri"/>
          <w:sz w:val="22"/>
          <w:szCs w:val="28"/>
        </w:rPr>
        <w:t xml:space="preserve">Build relationships with targeted schools to identify the best sourcing methods for growing your talent pipeline. </w:t>
      </w:r>
    </w:p>
    <w:p w14:paraId="4349C581" w14:textId="05A28E6C" w:rsidR="005F7A03" w:rsidRPr="007621BF" w:rsidRDefault="00EC3C22" w:rsidP="00432317">
      <w:pPr>
        <w:pStyle w:val="ListParagraph"/>
        <w:numPr>
          <w:ilvl w:val="0"/>
          <w:numId w:val="28"/>
        </w:numPr>
        <w:rPr>
          <w:rFonts w:eastAsia="Calibri"/>
          <w:b/>
          <w:bCs/>
          <w:sz w:val="22"/>
          <w:szCs w:val="28"/>
        </w:rPr>
      </w:pPr>
      <w:r w:rsidRPr="007621BF">
        <w:rPr>
          <w:rFonts w:eastAsia="Calibri"/>
          <w:sz w:val="22"/>
          <w:szCs w:val="28"/>
        </w:rPr>
        <w:t>Modify your talent acquisition (TA)</w:t>
      </w:r>
      <w:r w:rsidR="005F7A03" w:rsidRPr="007621BF">
        <w:rPr>
          <w:rFonts w:eastAsia="Calibri"/>
          <w:sz w:val="22"/>
          <w:szCs w:val="28"/>
        </w:rPr>
        <w:t xml:space="preserve"> process to create a candidate experience that resonates with new graduates.</w:t>
      </w:r>
    </w:p>
    <w:p w14:paraId="44026C07" w14:textId="5418C9F4" w:rsidR="00150238" w:rsidRPr="00EC3C22" w:rsidRDefault="00150238" w:rsidP="005F7A03">
      <w:pPr>
        <w:pStyle w:val="Heading3"/>
        <w:rPr>
          <w:color w:val="000000" w:themeColor="text1"/>
        </w:rPr>
      </w:pPr>
      <w:r w:rsidRPr="00EC3C22">
        <w:rPr>
          <w:color w:val="000000" w:themeColor="text1"/>
        </w:rPr>
        <w:t xml:space="preserve">Client Challenge </w:t>
      </w:r>
    </w:p>
    <w:p w14:paraId="2814D617" w14:textId="3F346E3C" w:rsidR="005F7A03" w:rsidRPr="007621BF" w:rsidRDefault="005F7A03" w:rsidP="003043A0">
      <w:pPr>
        <w:pStyle w:val="ListParagraph"/>
        <w:numPr>
          <w:ilvl w:val="0"/>
          <w:numId w:val="26"/>
        </w:numPr>
        <w:rPr>
          <w:rFonts w:eastAsia="Calibri"/>
          <w:b/>
          <w:bCs/>
          <w:sz w:val="22"/>
          <w:szCs w:val="28"/>
        </w:rPr>
      </w:pPr>
      <w:r w:rsidRPr="007621BF">
        <w:rPr>
          <w:rFonts w:eastAsia="Calibri"/>
          <w:sz w:val="22"/>
          <w:szCs w:val="28"/>
        </w:rPr>
        <w:t>The campus recruitment environment is complex. Most future graduates are new to job seeking</w:t>
      </w:r>
      <w:r w:rsidR="00847987">
        <w:rPr>
          <w:rFonts w:eastAsia="Calibri"/>
          <w:sz w:val="22"/>
          <w:szCs w:val="28"/>
        </w:rPr>
        <w:t>,</w:t>
      </w:r>
      <w:r w:rsidRPr="007621BF">
        <w:rPr>
          <w:rFonts w:eastAsia="Calibri"/>
          <w:sz w:val="22"/>
          <w:szCs w:val="28"/>
        </w:rPr>
        <w:t xml:space="preserve"> and they must balance their academic responsibilities with their job</w:t>
      </w:r>
      <w:r w:rsidR="006C1A3A" w:rsidRPr="007621BF">
        <w:rPr>
          <w:rFonts w:eastAsia="Calibri"/>
          <w:b/>
          <w:bCs/>
          <w:sz w:val="22"/>
          <w:szCs w:val="28"/>
        </w:rPr>
        <w:t>-</w:t>
      </w:r>
      <w:r w:rsidRPr="007621BF">
        <w:rPr>
          <w:rFonts w:eastAsia="Calibri"/>
          <w:sz w:val="22"/>
          <w:szCs w:val="28"/>
        </w:rPr>
        <w:t>seeking interests.</w:t>
      </w:r>
    </w:p>
    <w:p w14:paraId="78E1C319" w14:textId="7D58AE1C" w:rsidR="005F7A03" w:rsidRPr="007621BF" w:rsidRDefault="005F7A03" w:rsidP="003043A0">
      <w:pPr>
        <w:pStyle w:val="ListParagraph"/>
        <w:numPr>
          <w:ilvl w:val="0"/>
          <w:numId w:val="26"/>
        </w:numPr>
        <w:rPr>
          <w:rFonts w:eastAsia="Calibri"/>
          <w:b/>
          <w:bCs/>
          <w:sz w:val="22"/>
          <w:szCs w:val="28"/>
        </w:rPr>
      </w:pPr>
      <w:r w:rsidRPr="007621BF">
        <w:rPr>
          <w:rFonts w:eastAsia="Calibri"/>
          <w:sz w:val="22"/>
          <w:szCs w:val="28"/>
        </w:rPr>
        <w:t xml:space="preserve">Many organizations believe some work experience is required even for </w:t>
      </w:r>
      <w:r w:rsidR="00C64347" w:rsidRPr="007621BF">
        <w:rPr>
          <w:rFonts w:eastAsia="Calibri"/>
          <w:sz w:val="22"/>
          <w:szCs w:val="28"/>
        </w:rPr>
        <w:t>entry-level</w:t>
      </w:r>
      <w:r w:rsidRPr="007621BF">
        <w:rPr>
          <w:rFonts w:eastAsia="Calibri"/>
          <w:sz w:val="22"/>
          <w:szCs w:val="28"/>
        </w:rPr>
        <w:t xml:space="preserve"> roles, leading to </w:t>
      </w:r>
      <w:r w:rsidR="00C64347" w:rsidRPr="007621BF">
        <w:rPr>
          <w:rFonts w:eastAsia="Calibri"/>
          <w:sz w:val="22"/>
          <w:szCs w:val="28"/>
        </w:rPr>
        <w:t>the impression</w:t>
      </w:r>
      <w:r w:rsidRPr="007621BF">
        <w:rPr>
          <w:rFonts w:eastAsia="Calibri"/>
          <w:sz w:val="22"/>
          <w:szCs w:val="28"/>
        </w:rPr>
        <w:t xml:space="preserve"> that new graduates lack th</w:t>
      </w:r>
      <w:r w:rsidR="00C64347" w:rsidRPr="007621BF">
        <w:rPr>
          <w:rFonts w:eastAsia="Calibri"/>
          <w:sz w:val="22"/>
          <w:szCs w:val="28"/>
        </w:rPr>
        <w:t>e skills needed for these jobs.</w:t>
      </w:r>
    </w:p>
    <w:p w14:paraId="1A32E09A" w14:textId="137D970F" w:rsidR="00150238" w:rsidRPr="00EC3C22" w:rsidRDefault="00150238" w:rsidP="005F7A03">
      <w:pPr>
        <w:pStyle w:val="Heading3"/>
        <w:rPr>
          <w:color w:val="000000" w:themeColor="text1"/>
          <w:szCs w:val="20"/>
        </w:rPr>
      </w:pPr>
      <w:r w:rsidRPr="00EC3C22">
        <w:rPr>
          <w:color w:val="000000" w:themeColor="text1"/>
        </w:rPr>
        <w:t>Critical Insight</w:t>
      </w:r>
      <w:r w:rsidRPr="00EC3C22">
        <w:rPr>
          <w:color w:val="000000" w:themeColor="text1"/>
          <w:szCs w:val="20"/>
        </w:rPr>
        <w:t xml:space="preserve"> </w:t>
      </w:r>
    </w:p>
    <w:p w14:paraId="11714567" w14:textId="551AD679" w:rsidR="005F7A03" w:rsidRPr="007621BF" w:rsidRDefault="005F7A03" w:rsidP="007621BF">
      <w:pPr>
        <w:rPr>
          <w:rFonts w:eastAsia="Calibri"/>
          <w:b/>
          <w:bCs/>
          <w:sz w:val="22"/>
          <w:szCs w:val="28"/>
        </w:rPr>
      </w:pPr>
      <w:r w:rsidRPr="007621BF">
        <w:rPr>
          <w:rFonts w:eastAsia="Calibri"/>
          <w:sz w:val="22"/>
          <w:szCs w:val="28"/>
        </w:rPr>
        <w:t xml:space="preserve">With organizations’ pressing workforce needs, new graduates are a great source of talent. However, </w:t>
      </w:r>
      <w:r w:rsidR="00CB450F">
        <w:rPr>
          <w:rFonts w:eastAsia="Calibri"/>
          <w:sz w:val="22"/>
          <w:szCs w:val="28"/>
        </w:rPr>
        <w:t>because</w:t>
      </w:r>
      <w:r w:rsidRPr="007621BF">
        <w:rPr>
          <w:rFonts w:eastAsia="Calibri"/>
          <w:sz w:val="22"/>
          <w:szCs w:val="28"/>
        </w:rPr>
        <w:t xml:space="preserve"> they approach the labor market differently from experienced job seekers, organizations need a tailored approach to recruit them successfully. </w:t>
      </w:r>
    </w:p>
    <w:p w14:paraId="5C396F54" w14:textId="77777777" w:rsidR="000309AD" w:rsidRPr="000309AD" w:rsidRDefault="000309AD" w:rsidP="000309AD">
      <w:pPr>
        <w:rPr>
          <w:rFonts w:eastAsia="Calibri"/>
        </w:rPr>
      </w:pPr>
    </w:p>
    <w:p w14:paraId="7311991F" w14:textId="052C1EBF" w:rsidR="000309AD" w:rsidRDefault="000309AD" w:rsidP="000309AD">
      <w:pPr>
        <w:rPr>
          <w:rFonts w:eastAsia="Calibri"/>
        </w:rPr>
      </w:pPr>
    </w:p>
    <w:p w14:paraId="08A428D5" w14:textId="01486933" w:rsidR="000309AD" w:rsidRPr="000309AD" w:rsidRDefault="000309AD" w:rsidP="000309AD">
      <w:pPr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51F88911" wp14:editId="39C7A5CF">
            <wp:extent cx="6006267" cy="299901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8543" cy="30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5BB8" w14:textId="26AFE829" w:rsidR="003D56D2" w:rsidRDefault="003D56D2" w:rsidP="003D56D2">
      <w:pPr>
        <w:jc w:val="center"/>
        <w:rPr>
          <w:rFonts w:eastAsia="Calibri"/>
        </w:rPr>
      </w:pPr>
    </w:p>
    <w:p w14:paraId="4B6566FB" w14:textId="38C66488" w:rsidR="007E7F4E" w:rsidRPr="007E7F4E" w:rsidRDefault="007E7F4E" w:rsidP="005F7A03">
      <w:pPr>
        <w:pStyle w:val="Heading3"/>
        <w:spacing w:before="0"/>
      </w:pPr>
      <w:r w:rsidRPr="007E7F4E"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35038AC7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02526A" w:rsidRPr="005F7A03">
              <w:rPr>
                <w:rFonts w:cs="Arial"/>
                <w:sz w:val="22"/>
                <w:szCs w:val="22"/>
              </w:rPr>
              <w:t>Assess campus recruitment needs and identify program goals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698E" w14:textId="48D25876" w:rsidR="005F7A03" w:rsidRPr="005F7A03" w:rsidRDefault="005F7A03" w:rsidP="005F7A0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Identify</w:t>
            </w:r>
            <w:r w:rsidRPr="005F7A0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organizational goals and roles that could be filled by new graduates.</w:t>
            </w:r>
          </w:p>
          <w:p w14:paraId="1BC41EB7" w14:textId="691274A2" w:rsidR="005F7A03" w:rsidRPr="005F7A03" w:rsidRDefault="005F7A03" w:rsidP="005F7A03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5F7A0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Set program</w:t>
            </w:r>
            <w:r w:rsidR="00610FA2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-</w:t>
            </w:r>
            <w:r w:rsidRPr="005F7A0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level goals for c</w:t>
            </w: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ampus recruitment and identify</w:t>
            </w:r>
            <w:r w:rsidRPr="005F7A0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associated metrics. </w:t>
            </w:r>
          </w:p>
          <w:p w14:paraId="4DDB19D0" w14:textId="65541EC2" w:rsidR="005F7A03" w:rsidRPr="005F7A03" w:rsidRDefault="005F7A03" w:rsidP="005F7A03">
            <w:pPr>
              <w:numPr>
                <w:ilvl w:val="0"/>
                <w:numId w:val="10"/>
              </w:numPr>
              <w:spacing w:after="24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Build</w:t>
            </w:r>
            <w:r w:rsidRPr="005F7A03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a business case for stakeholder support and commitment.</w:t>
            </w:r>
          </w:p>
          <w:p w14:paraId="2D413A71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00FB977F" w14:textId="77777777" w:rsidR="005F7A03" w:rsidRPr="005F7A03" w:rsidRDefault="005F7A03" w:rsidP="00421D70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Campus Recruitment Program Workbook</w:t>
            </w:r>
            <w:r w:rsidRPr="00C477D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0AC508E2" w14:textId="77777777" w:rsidR="005F7A03" w:rsidRPr="005F7A03" w:rsidRDefault="005F7A03" w:rsidP="00421D70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Metrics Library</w:t>
            </w:r>
            <w:r w:rsidRPr="00C477D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0A1AFD94" w14:textId="177C95AE" w:rsidR="007E7F4E" w:rsidRPr="005F7A03" w:rsidRDefault="005F7A03" w:rsidP="005F7A03">
            <w:pPr>
              <w:numPr>
                <w:ilvl w:val="0"/>
                <w:numId w:val="11"/>
              </w:numPr>
              <w:spacing w:after="240"/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Case Studies: Build a Customized Campus Recruitment Program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6E33AF68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02526A" w:rsidRPr="005F7A03">
              <w:rPr>
                <w:rFonts w:cs="Arial"/>
                <w:sz w:val="22"/>
                <w:szCs w:val="22"/>
              </w:rPr>
              <w:t>Design the campus recruitment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753C" w14:textId="5608737F" w:rsidR="005F7A03" w:rsidRPr="005F7A03" w:rsidRDefault="005F7A03" w:rsidP="005F7A03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Develop</w:t>
            </w:r>
            <w:r w:rsidRPr="005F7A03">
              <w:rPr>
                <w:rFonts w:cs="Arial"/>
                <w:sz w:val="22"/>
                <w:szCs w:val="22"/>
                <w:lang w:val="en-CA"/>
              </w:rPr>
              <w:t xml:space="preserve"> job descriptions and audience profiles for priority roles.</w:t>
            </w:r>
          </w:p>
          <w:p w14:paraId="01225CD6" w14:textId="6CD0B335" w:rsidR="005F7A03" w:rsidRPr="005F7A03" w:rsidRDefault="005F7A03" w:rsidP="005F7A03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Tailor</w:t>
            </w:r>
            <w:r w:rsidRPr="005F7A03">
              <w:rPr>
                <w:rFonts w:cs="Arial"/>
                <w:sz w:val="22"/>
                <w:szCs w:val="22"/>
                <w:lang w:val="en-CA"/>
              </w:rPr>
              <w:t xml:space="preserve"> employer brand messaging to target new graduates.</w:t>
            </w:r>
          </w:p>
          <w:p w14:paraId="1E502FA6" w14:textId="775109CD" w:rsidR="005F7A03" w:rsidRPr="005F7A03" w:rsidRDefault="005F7A03" w:rsidP="005F7A03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Select</w:t>
            </w:r>
            <w:r w:rsidRPr="005F7A03">
              <w:rPr>
                <w:rFonts w:cs="Arial"/>
                <w:sz w:val="22"/>
                <w:szCs w:val="22"/>
                <w:lang w:val="en-CA"/>
              </w:rPr>
              <w:t xml:space="preserve"> sourcing methods for the campus recruitment program. </w:t>
            </w:r>
          </w:p>
          <w:p w14:paraId="0540A5BD" w14:textId="585F7195" w:rsidR="005F7A03" w:rsidRPr="005F7A03" w:rsidRDefault="005F7A03" w:rsidP="005F7A03">
            <w:pPr>
              <w:numPr>
                <w:ilvl w:val="0"/>
                <w:numId w:val="12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sz w:val="22"/>
                <w:szCs w:val="22"/>
                <w:lang w:val="en-CA"/>
              </w:rPr>
              <w:t>Identif</w:t>
            </w:r>
            <w:r>
              <w:rPr>
                <w:rFonts w:cs="Arial"/>
                <w:sz w:val="22"/>
                <w:szCs w:val="22"/>
                <w:lang w:val="en-CA"/>
              </w:rPr>
              <w:t>y</w:t>
            </w:r>
            <w:r w:rsidRPr="005F7A03">
              <w:rPr>
                <w:rFonts w:cs="Arial"/>
                <w:sz w:val="22"/>
                <w:szCs w:val="22"/>
                <w:lang w:val="en-CA"/>
              </w:rPr>
              <w:t xml:space="preserve"> changes to current TA process for campus recruitment. </w:t>
            </w:r>
          </w:p>
          <w:p w14:paraId="1BBFCD43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5B51110D" w14:textId="77777777" w:rsidR="007E7F4E" w:rsidRPr="005F7A03" w:rsidRDefault="005F7A03" w:rsidP="005F7A03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Sourcing Plan Template</w:t>
            </w:r>
          </w:p>
          <w:p w14:paraId="76DA7A88" w14:textId="77777777" w:rsidR="005F7A03" w:rsidRPr="005F7A03" w:rsidRDefault="005F7A03" w:rsidP="005F7A03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Job Description Template</w:t>
            </w:r>
          </w:p>
          <w:p w14:paraId="56B0DB92" w14:textId="77777777" w:rsidR="005F7A03" w:rsidRPr="005F7A03" w:rsidRDefault="005F7A03" w:rsidP="005F7A03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Job Ad Guide</w:t>
            </w:r>
          </w:p>
          <w:p w14:paraId="02AD1F28" w14:textId="177EE882" w:rsidR="005F7A03" w:rsidRPr="005F7A03" w:rsidRDefault="00C64347" w:rsidP="005F7A03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CA"/>
              </w:rPr>
              <w:t xml:space="preserve">New Graduate </w:t>
            </w:r>
            <w:r w:rsidR="005F7A03"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Audience Profile Template</w:t>
            </w:r>
          </w:p>
          <w:p w14:paraId="57364BE4" w14:textId="77777777" w:rsidR="005F7A03" w:rsidRPr="005F7A03" w:rsidRDefault="005F7A03" w:rsidP="005F7A03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EVP and Employer Brand Promotion Plan</w:t>
            </w:r>
          </w:p>
          <w:p w14:paraId="28324953" w14:textId="3E87EBB1" w:rsidR="005F7A03" w:rsidRPr="00C477D9" w:rsidRDefault="005F7A03" w:rsidP="005F7A03">
            <w:pPr>
              <w:numPr>
                <w:ilvl w:val="0"/>
                <w:numId w:val="13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Campus Recruitment Sourcing Methods Catalog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32691B69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02526A" w:rsidRPr="005F7A03">
              <w:rPr>
                <w:rFonts w:cs="Arial"/>
                <w:sz w:val="22"/>
                <w:szCs w:val="22"/>
              </w:rPr>
              <w:t>Prepare to implement the campus recruitment program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2C6B" w14:textId="71308133" w:rsidR="005F7A03" w:rsidRPr="005F7A03" w:rsidRDefault="005F7A03" w:rsidP="005F7A0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Identify</w:t>
            </w:r>
            <w:r w:rsidRPr="005F7A03">
              <w:rPr>
                <w:rFonts w:cs="Arial"/>
                <w:sz w:val="22"/>
                <w:szCs w:val="22"/>
                <w:lang w:val="en-CA"/>
              </w:rPr>
              <w:t xml:space="preserve"> an action plan for implementing the campus recruitment program.</w:t>
            </w:r>
          </w:p>
          <w:p w14:paraId="0937D439" w14:textId="6CD971C4" w:rsidR="005F7A03" w:rsidRPr="005F7A03" w:rsidRDefault="005F7A03" w:rsidP="005F7A0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sz w:val="22"/>
                <w:szCs w:val="22"/>
                <w:lang w:val="en-CA"/>
              </w:rPr>
              <w:t>Create an annual campus recruitment calendar.</w:t>
            </w:r>
          </w:p>
          <w:p w14:paraId="3DD54FE5" w14:textId="12571CCE" w:rsidR="005F7A03" w:rsidRPr="005F7A03" w:rsidRDefault="005F7A03" w:rsidP="005F7A03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sz w:val="22"/>
                <w:szCs w:val="22"/>
                <w:lang w:val="en-CA"/>
              </w:rPr>
              <w:t>Develop communications content and collateral for marketing the employer brand.</w:t>
            </w:r>
          </w:p>
          <w:p w14:paraId="3B66DF14" w14:textId="32F8D4CB" w:rsidR="005F7A03" w:rsidRPr="005F7A03" w:rsidRDefault="005F7A03" w:rsidP="005F7A03">
            <w:pPr>
              <w:numPr>
                <w:ilvl w:val="0"/>
                <w:numId w:val="14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sz w:val="22"/>
                <w:szCs w:val="22"/>
                <w:lang w:val="en-CA"/>
              </w:rPr>
              <w:t>Determine an annual evaluation and planning process.</w:t>
            </w:r>
          </w:p>
          <w:p w14:paraId="319B4A5D" w14:textId="77777777" w:rsidR="007E7F4E" w:rsidRPr="00C477D9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56038024" w14:textId="77777777" w:rsidR="007E7F4E" w:rsidRPr="005F7A03" w:rsidRDefault="005F7A03" w:rsidP="005F7A03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HR Action and Communication Plan</w:t>
            </w:r>
          </w:p>
          <w:p w14:paraId="5878C93A" w14:textId="77777777" w:rsidR="005F7A03" w:rsidRPr="005F7A03" w:rsidRDefault="005F7A03" w:rsidP="005F7A03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Campus Recruitment Calendar</w:t>
            </w:r>
          </w:p>
          <w:p w14:paraId="10D43131" w14:textId="77777777" w:rsidR="005F7A03" w:rsidRPr="005F7A03" w:rsidRDefault="005F7A03" w:rsidP="005F7A03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Campus Recruitment Readiness Checklist</w:t>
            </w:r>
          </w:p>
          <w:p w14:paraId="3BCC303B" w14:textId="4735FB8D" w:rsidR="005F7A03" w:rsidRPr="00C477D9" w:rsidRDefault="005F7A03" w:rsidP="005F7A03">
            <w:pPr>
              <w:numPr>
                <w:ilvl w:val="0"/>
                <w:numId w:val="15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5F7A03">
              <w:rPr>
                <w:rFonts w:cs="Arial"/>
                <w:i/>
                <w:iCs/>
                <w:sz w:val="22"/>
                <w:szCs w:val="22"/>
                <w:lang w:val="en-CA"/>
              </w:rPr>
              <w:t>Workshop: Build a Customized Campus Recruitment Program</w:t>
            </w:r>
          </w:p>
        </w:tc>
      </w:tr>
    </w:tbl>
    <w:p w14:paraId="59B540BB" w14:textId="77777777" w:rsidR="005F7A03" w:rsidRDefault="005F7A03" w:rsidP="00BA7D52">
      <w:pPr>
        <w:jc w:val="center"/>
      </w:pPr>
    </w:p>
    <w:p w14:paraId="51D5375B" w14:textId="19813355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6FC9" w14:textId="77777777" w:rsidR="00BF1377" w:rsidRDefault="00BF1377">
      <w:r>
        <w:separator/>
      </w:r>
    </w:p>
  </w:endnote>
  <w:endnote w:type="continuationSeparator" w:id="0">
    <w:p w14:paraId="67988610" w14:textId="77777777" w:rsidR="00BF1377" w:rsidRDefault="00B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B2175C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941A" w14:textId="77777777" w:rsidR="00BF1377" w:rsidRDefault="00BF1377">
      <w:r>
        <w:separator/>
      </w:r>
    </w:p>
  </w:footnote>
  <w:footnote w:type="continuationSeparator" w:id="0">
    <w:p w14:paraId="30573D09" w14:textId="77777777" w:rsidR="00BF1377" w:rsidRDefault="00BF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0067"/>
    <w:multiLevelType w:val="hybridMultilevel"/>
    <w:tmpl w:val="46583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40822"/>
    <w:multiLevelType w:val="hybridMultilevel"/>
    <w:tmpl w:val="47ECA0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7DD"/>
    <w:multiLevelType w:val="hybridMultilevel"/>
    <w:tmpl w:val="4DE0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9F2241A"/>
    <w:multiLevelType w:val="hybridMultilevel"/>
    <w:tmpl w:val="6A5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8AB79F1"/>
    <w:multiLevelType w:val="hybridMultilevel"/>
    <w:tmpl w:val="BE9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AF35B5"/>
    <w:multiLevelType w:val="hybridMultilevel"/>
    <w:tmpl w:val="53880F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"/>
  </w:num>
  <w:num w:numId="5">
    <w:abstractNumId w:val="4"/>
  </w:num>
  <w:num w:numId="6">
    <w:abstractNumId w:val="26"/>
  </w:num>
  <w:num w:numId="7">
    <w:abstractNumId w:val="14"/>
  </w:num>
  <w:num w:numId="8">
    <w:abstractNumId w:val="23"/>
  </w:num>
  <w:num w:numId="9">
    <w:abstractNumId w:val="21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24"/>
  </w:num>
  <w:num w:numId="19">
    <w:abstractNumId w:val="6"/>
  </w:num>
  <w:num w:numId="20">
    <w:abstractNumId w:val="16"/>
  </w:num>
  <w:num w:numId="21">
    <w:abstractNumId w:val="7"/>
  </w:num>
  <w:num w:numId="22">
    <w:abstractNumId w:val="11"/>
  </w:num>
  <w:num w:numId="23">
    <w:abstractNumId w:val="9"/>
  </w:num>
  <w:num w:numId="24">
    <w:abstractNumId w:val="27"/>
  </w:num>
  <w:num w:numId="25">
    <w:abstractNumId w:val="8"/>
  </w:num>
  <w:num w:numId="26">
    <w:abstractNumId w:val="19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526A"/>
    <w:rsid w:val="00026ACB"/>
    <w:rsid w:val="000309AD"/>
    <w:rsid w:val="00033B26"/>
    <w:rsid w:val="00077963"/>
    <w:rsid w:val="000D63E7"/>
    <w:rsid w:val="0012656F"/>
    <w:rsid w:val="00134035"/>
    <w:rsid w:val="00150238"/>
    <w:rsid w:val="00186D07"/>
    <w:rsid w:val="001E7D47"/>
    <w:rsid w:val="001F431F"/>
    <w:rsid w:val="001F5FDE"/>
    <w:rsid w:val="0020649A"/>
    <w:rsid w:val="00234116"/>
    <w:rsid w:val="002344C3"/>
    <w:rsid w:val="00253948"/>
    <w:rsid w:val="00287C5E"/>
    <w:rsid w:val="002C17B1"/>
    <w:rsid w:val="002C6A38"/>
    <w:rsid w:val="002D034A"/>
    <w:rsid w:val="002E4C1A"/>
    <w:rsid w:val="003018D3"/>
    <w:rsid w:val="003043A0"/>
    <w:rsid w:val="00343D15"/>
    <w:rsid w:val="00364660"/>
    <w:rsid w:val="0037158A"/>
    <w:rsid w:val="003D56D2"/>
    <w:rsid w:val="004069F4"/>
    <w:rsid w:val="00432317"/>
    <w:rsid w:val="00455B7B"/>
    <w:rsid w:val="00486B78"/>
    <w:rsid w:val="00492F5D"/>
    <w:rsid w:val="004C35A9"/>
    <w:rsid w:val="004D32EB"/>
    <w:rsid w:val="004F57CC"/>
    <w:rsid w:val="004F62F6"/>
    <w:rsid w:val="00514649"/>
    <w:rsid w:val="005328F4"/>
    <w:rsid w:val="005C7852"/>
    <w:rsid w:val="005F7A03"/>
    <w:rsid w:val="00610FA2"/>
    <w:rsid w:val="0061655C"/>
    <w:rsid w:val="006B0CA8"/>
    <w:rsid w:val="006C1A3A"/>
    <w:rsid w:val="00701BB0"/>
    <w:rsid w:val="007152EF"/>
    <w:rsid w:val="00715498"/>
    <w:rsid w:val="007621BF"/>
    <w:rsid w:val="00775EA1"/>
    <w:rsid w:val="007E7F4E"/>
    <w:rsid w:val="007F471F"/>
    <w:rsid w:val="00801B44"/>
    <w:rsid w:val="00803CE4"/>
    <w:rsid w:val="0081572D"/>
    <w:rsid w:val="00830085"/>
    <w:rsid w:val="00847987"/>
    <w:rsid w:val="008B4684"/>
    <w:rsid w:val="008B6398"/>
    <w:rsid w:val="008C5E54"/>
    <w:rsid w:val="008F5841"/>
    <w:rsid w:val="00923F3F"/>
    <w:rsid w:val="0096410E"/>
    <w:rsid w:val="00A761A0"/>
    <w:rsid w:val="00AA0C38"/>
    <w:rsid w:val="00AC45C3"/>
    <w:rsid w:val="00B2175C"/>
    <w:rsid w:val="00BA7D52"/>
    <w:rsid w:val="00BF1377"/>
    <w:rsid w:val="00C36C85"/>
    <w:rsid w:val="00C477D9"/>
    <w:rsid w:val="00C47B87"/>
    <w:rsid w:val="00C50C04"/>
    <w:rsid w:val="00C64347"/>
    <w:rsid w:val="00C8415D"/>
    <w:rsid w:val="00CA08B6"/>
    <w:rsid w:val="00CA0EDC"/>
    <w:rsid w:val="00CB15B0"/>
    <w:rsid w:val="00CB450F"/>
    <w:rsid w:val="00D0516C"/>
    <w:rsid w:val="00D206DA"/>
    <w:rsid w:val="00D92959"/>
    <w:rsid w:val="00D97422"/>
    <w:rsid w:val="00DA3B6D"/>
    <w:rsid w:val="00DB120E"/>
    <w:rsid w:val="00DF35DF"/>
    <w:rsid w:val="00EC3C22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78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06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22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63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6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49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9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34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92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59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000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91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727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21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9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0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10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31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E304F1-A605-4713-805C-24C3060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2022-02-25T21:28:00Z</dcterms:created>
  <dcterms:modified xsi:type="dcterms:W3CDTF">2022-02-25T21:28:00Z</dcterms:modified>
</cp:coreProperties>
</file>