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0919F37C" w:rsidR="008B4684" w:rsidRPr="00FD43D3" w:rsidRDefault="00E5584D" w:rsidP="004F62F6">
      <w:pPr>
        <w:pStyle w:val="Heading1"/>
      </w:pPr>
      <w:r w:rsidRPr="00FD43D3">
        <w:t>Design and Build a Strategic Workforce Planning Toolkit</w:t>
      </w:r>
      <w:r w:rsidR="004F62F6" w:rsidRPr="00FD43D3">
        <w:t xml:space="preserve"> </w:t>
      </w:r>
      <w:r w:rsidR="0020649A" w:rsidRPr="00FD43D3">
        <w:t>Executive Briefing</w:t>
      </w:r>
    </w:p>
    <w:p w14:paraId="6D835752" w14:textId="31B2A4C7" w:rsidR="00150238" w:rsidRPr="00FD43D3" w:rsidRDefault="007152EF" w:rsidP="004F62F6">
      <w:pPr>
        <w:pStyle w:val="Heading3"/>
        <w:rPr>
          <w:rFonts w:eastAsia="Calibri"/>
        </w:rPr>
      </w:pPr>
      <w:r w:rsidRPr="00FD43D3">
        <w:rPr>
          <w:rFonts w:eastAsia="Calibri"/>
        </w:rPr>
        <w:t xml:space="preserve">Summary </w:t>
      </w:r>
    </w:p>
    <w:p w14:paraId="1208C82E" w14:textId="718FE078" w:rsidR="0075457E" w:rsidRDefault="0075457E" w:rsidP="00C70E61">
      <w:pPr>
        <w:rPr>
          <w:rFonts w:eastAsia="Calibri" w:cs="Arial"/>
          <w:sz w:val="22"/>
          <w:szCs w:val="22"/>
        </w:rPr>
      </w:pPr>
      <w:r w:rsidRPr="0075457E">
        <w:rPr>
          <w:rFonts w:eastAsia="Calibri" w:cs="Arial"/>
          <w:sz w:val="22"/>
          <w:szCs w:val="22"/>
        </w:rPr>
        <w:t>Today’s rapidly changing operating environment is making it increasingly difficult to get the talent needed to execute organizational strategies using traditional reactive talent management practices.</w:t>
      </w:r>
      <w:r w:rsidR="00852583">
        <w:rPr>
          <w:rFonts w:eastAsia="Calibri" w:cs="Arial"/>
          <w:sz w:val="22"/>
          <w:szCs w:val="22"/>
        </w:rPr>
        <w:t xml:space="preserve"> </w:t>
      </w:r>
      <w:r w:rsidR="00852583" w:rsidRPr="00852583">
        <w:rPr>
          <w:rFonts w:eastAsia="Calibri" w:cs="Arial"/>
          <w:sz w:val="22"/>
          <w:szCs w:val="22"/>
        </w:rPr>
        <w:t>Eighty percent of executives expect changes to organizational operations or value creation, which will further impact the skills needed in the future (PwC, 2021), and workforce planning is the solution: organizations who conduct any form of workforce planning see more positive talent, HR, and business outcomes than those who do not (Sapient Insights Group).</w:t>
      </w:r>
    </w:p>
    <w:p w14:paraId="367DAAAC" w14:textId="3C049E29" w:rsidR="007E7F4E" w:rsidRPr="00FD43D3" w:rsidRDefault="00801B44" w:rsidP="004F62F6">
      <w:pPr>
        <w:pStyle w:val="Heading3"/>
        <w:rPr>
          <w:sz w:val="22"/>
          <w:szCs w:val="22"/>
        </w:rPr>
      </w:pPr>
      <w:r w:rsidRPr="00FD43D3">
        <w:t>Our Recommendation</w:t>
      </w:r>
      <w:r w:rsidR="007E7F4E" w:rsidRPr="00FD43D3">
        <w:t xml:space="preserve"> </w:t>
      </w:r>
    </w:p>
    <w:p w14:paraId="134ABBBD" w14:textId="1137DB8D" w:rsidR="009A5459" w:rsidRPr="007F055E" w:rsidRDefault="007F055E" w:rsidP="009A5459">
      <w:pPr>
        <w:pStyle w:val="NoSpacing"/>
        <w:numPr>
          <w:ilvl w:val="0"/>
          <w:numId w:val="8"/>
        </w:numPr>
        <w:rPr>
          <w:rFonts w:ascii="Arial" w:hAnsi="Arial" w:cs="Arial"/>
          <w:lang w:val="en-CA"/>
        </w:rPr>
      </w:pPr>
      <w:r w:rsidRPr="007F055E">
        <w:rPr>
          <w:rFonts w:ascii="Arial" w:hAnsi="Arial" w:cs="Arial"/>
        </w:rPr>
        <w:t xml:space="preserve">Start the workforce planning journey by designing the process and planning for the different </w:t>
      </w:r>
      <w:r w:rsidR="00892CA5">
        <w:rPr>
          <w:rFonts w:ascii="Arial" w:hAnsi="Arial" w:cs="Arial"/>
        </w:rPr>
        <w:t>people</w:t>
      </w:r>
      <w:r w:rsidRPr="007F055E">
        <w:rPr>
          <w:rFonts w:ascii="Arial" w:hAnsi="Arial" w:cs="Arial"/>
        </w:rPr>
        <w:t xml:space="preserve"> and analyses that will be involved.</w:t>
      </w:r>
    </w:p>
    <w:p w14:paraId="54C52FD6" w14:textId="72E87904" w:rsidR="007E7F4E" w:rsidRPr="00FD43D3" w:rsidRDefault="007F055E" w:rsidP="009A5459">
      <w:pPr>
        <w:pStyle w:val="NoSpacing"/>
        <w:numPr>
          <w:ilvl w:val="0"/>
          <w:numId w:val="8"/>
        </w:numPr>
        <w:rPr>
          <w:rFonts w:ascii="Arial" w:hAnsi="Arial" w:cs="Arial"/>
          <w:lang w:val="en-CA"/>
        </w:rPr>
      </w:pPr>
      <w:r w:rsidRPr="007F055E">
        <w:rPr>
          <w:rFonts w:ascii="Arial" w:hAnsi="Arial" w:cs="Arial"/>
        </w:rPr>
        <w:t>Implement a clear and straightforward workforce planning process aligned with organizational capabilities and maturity to make workforce planning achievable and attain the benefits of this strategic planning process.</w:t>
      </w:r>
    </w:p>
    <w:p w14:paraId="44026C07" w14:textId="62866941" w:rsidR="00150238" w:rsidRPr="00FD43D3" w:rsidRDefault="00150238" w:rsidP="004F62F6">
      <w:pPr>
        <w:pStyle w:val="Heading3"/>
      </w:pPr>
      <w:r w:rsidRPr="00FD43D3">
        <w:t xml:space="preserve">Client Challenge </w:t>
      </w:r>
    </w:p>
    <w:p w14:paraId="26CC1EB6" w14:textId="4B8763CD" w:rsidR="00D1592E" w:rsidRPr="00D1592E" w:rsidRDefault="00D1592E" w:rsidP="00D1592E">
      <w:pPr>
        <w:numPr>
          <w:ilvl w:val="0"/>
          <w:numId w:val="7"/>
        </w:numPr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</w:rPr>
        <w:t>O</w:t>
      </w:r>
      <w:r w:rsidRPr="00D1592E">
        <w:rPr>
          <w:rFonts w:eastAsia="Calibri" w:cs="Arial"/>
          <w:sz w:val="22"/>
          <w:szCs w:val="22"/>
        </w:rPr>
        <w:t xml:space="preserve">rganizations </w:t>
      </w:r>
      <w:r>
        <w:rPr>
          <w:rFonts w:eastAsia="Calibri" w:cs="Arial"/>
          <w:sz w:val="22"/>
          <w:szCs w:val="22"/>
        </w:rPr>
        <w:t xml:space="preserve">often </w:t>
      </w:r>
      <w:r w:rsidRPr="00D1592E">
        <w:rPr>
          <w:rFonts w:eastAsia="Calibri" w:cs="Arial"/>
          <w:sz w:val="22"/>
          <w:szCs w:val="22"/>
        </w:rPr>
        <w:t xml:space="preserve">struggle to implement workforce planning. While headcount planning is a process most organizations are comfortable with, workforce planning is a more complex undertaking that involves more </w:t>
      </w:r>
      <w:r w:rsidR="00C00C9D">
        <w:rPr>
          <w:rFonts w:eastAsia="Calibri" w:cs="Arial"/>
          <w:sz w:val="22"/>
          <w:szCs w:val="22"/>
        </w:rPr>
        <w:t>people</w:t>
      </w:r>
      <w:r w:rsidRPr="00D1592E">
        <w:rPr>
          <w:rFonts w:eastAsia="Calibri" w:cs="Arial"/>
          <w:sz w:val="22"/>
          <w:szCs w:val="22"/>
        </w:rPr>
        <w:t>, more quantitative and qualitative data, and longer planning horizons.</w:t>
      </w:r>
    </w:p>
    <w:p w14:paraId="270587AE" w14:textId="622B749E" w:rsidR="00150238" w:rsidRPr="00FD43D3" w:rsidRDefault="003D54E3" w:rsidP="009A5459">
      <w:pPr>
        <w:numPr>
          <w:ilvl w:val="0"/>
          <w:numId w:val="7"/>
        </w:numPr>
        <w:rPr>
          <w:rFonts w:eastAsia="Calibri" w:cs="Arial"/>
          <w:sz w:val="22"/>
          <w:szCs w:val="22"/>
          <w:lang w:val="en-CA"/>
        </w:rPr>
      </w:pPr>
      <w:r w:rsidRPr="003D54E3">
        <w:rPr>
          <w:rFonts w:eastAsia="Calibri" w:cs="Arial"/>
          <w:sz w:val="22"/>
          <w:szCs w:val="22"/>
        </w:rPr>
        <w:t>A lack of suitable data and internal expertise on designing and applying workforce planning means that many organizations apply it infrequently, improperly, or not at all.</w:t>
      </w:r>
      <w:r w:rsidR="0061655C" w:rsidRPr="00FD43D3">
        <w:rPr>
          <w:rFonts w:eastAsia="Calibri" w:cs="Arial"/>
          <w:sz w:val="22"/>
          <w:szCs w:val="22"/>
        </w:rPr>
        <w:t xml:space="preserve">  </w:t>
      </w:r>
      <w:r w:rsidR="00150238" w:rsidRPr="00FD43D3">
        <w:rPr>
          <w:rFonts w:eastAsia="Calibri" w:cs="Arial"/>
          <w:sz w:val="22"/>
          <w:szCs w:val="22"/>
        </w:rPr>
        <w:t xml:space="preserve">  </w:t>
      </w:r>
    </w:p>
    <w:p w14:paraId="1A32E09A" w14:textId="50BB7A59" w:rsidR="00150238" w:rsidRPr="00FD43D3" w:rsidRDefault="00150238" w:rsidP="004F62F6">
      <w:pPr>
        <w:pStyle w:val="Heading3"/>
        <w:rPr>
          <w:szCs w:val="20"/>
        </w:rPr>
      </w:pPr>
      <w:r w:rsidRPr="00FD43D3">
        <w:t>Critical Insight</w:t>
      </w:r>
      <w:r w:rsidRPr="00FD43D3">
        <w:rPr>
          <w:szCs w:val="20"/>
        </w:rPr>
        <w:t xml:space="preserve"> </w:t>
      </w:r>
    </w:p>
    <w:p w14:paraId="0796704F" w14:textId="7A5F41A7" w:rsidR="00150238" w:rsidRPr="00ED554A" w:rsidRDefault="00ED554A" w:rsidP="00ED554A">
      <w:pPr>
        <w:numPr>
          <w:ilvl w:val="0"/>
          <w:numId w:val="8"/>
        </w:numPr>
        <w:rPr>
          <w:rFonts w:eastAsia="Calibri" w:cs="Arial"/>
          <w:sz w:val="22"/>
          <w:szCs w:val="22"/>
          <w:lang w:val="en-CA"/>
        </w:rPr>
      </w:pPr>
      <w:r w:rsidRPr="00ED554A">
        <w:rPr>
          <w:rFonts w:eastAsia="Calibri" w:cs="Arial"/>
          <w:sz w:val="22"/>
          <w:szCs w:val="22"/>
        </w:rPr>
        <w:t xml:space="preserve">It is common practice to continually reassess customers, markets, and products in today’s </w:t>
      </w:r>
      <w:r w:rsidR="0005512F">
        <w:rPr>
          <w:rFonts w:eastAsia="Calibri" w:cs="Arial"/>
          <w:sz w:val="22"/>
          <w:szCs w:val="22"/>
        </w:rPr>
        <w:t>volatile, uncertain, complex, and ambiguous (</w:t>
      </w:r>
      <w:r w:rsidRPr="00ED554A">
        <w:rPr>
          <w:rFonts w:eastAsia="Calibri" w:cs="Arial"/>
          <w:sz w:val="22"/>
          <w:szCs w:val="22"/>
        </w:rPr>
        <w:t>VUCA</w:t>
      </w:r>
      <w:r w:rsidR="0005512F">
        <w:rPr>
          <w:rFonts w:eastAsia="Calibri" w:cs="Arial"/>
          <w:sz w:val="22"/>
          <w:szCs w:val="22"/>
        </w:rPr>
        <w:t>)</w:t>
      </w:r>
      <w:r w:rsidRPr="00ED554A">
        <w:rPr>
          <w:rFonts w:eastAsia="Calibri" w:cs="Arial"/>
          <w:sz w:val="22"/>
          <w:szCs w:val="22"/>
        </w:rPr>
        <w:t xml:space="preserve"> environment, but there is often no parallel assessment of workforce composition. Leaders need to be planful and develop a strategy that positions their organization to take advantage of change rather than fall victim to it.</w:t>
      </w:r>
    </w:p>
    <w:p w14:paraId="7453E070" w14:textId="5EB5E64A" w:rsidR="00C70E61" w:rsidRDefault="000E6FB4" w:rsidP="00C70E61">
      <w:pPr>
        <w:rPr>
          <w:rFonts w:eastAsia="Calibri" w:cs="Arial"/>
          <w:color w:val="5B9BD5" w:themeColor="accent1"/>
          <w:sz w:val="22"/>
          <w:szCs w:val="22"/>
        </w:rPr>
      </w:pPr>
      <w:r w:rsidRPr="0010494C">
        <w:rPr>
          <w:rFonts w:eastAsia="Calibri" w:cs="Arial"/>
          <w:noProof/>
          <w:color w:val="5B9BD5" w:themeColor="accent1"/>
          <w:sz w:val="22"/>
          <w:szCs w:val="22"/>
          <w:lang w:val="en-CA"/>
        </w:rPr>
        <w:drawing>
          <wp:anchor distT="0" distB="0" distL="114300" distR="114300" simplePos="0" relativeHeight="251658240" behindDoc="0" locked="0" layoutInCell="1" allowOverlap="1" wp14:anchorId="7E0C6F48" wp14:editId="6115028F">
            <wp:simplePos x="0" y="0"/>
            <wp:positionH relativeFrom="margin">
              <wp:posOffset>-44645</wp:posOffset>
            </wp:positionH>
            <wp:positionV relativeFrom="paragraph">
              <wp:posOffset>141061</wp:posOffset>
            </wp:positionV>
            <wp:extent cx="6664352" cy="2293053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52" cy="2293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33C0F" w14:textId="35176CCE" w:rsidR="00C70E61" w:rsidRPr="00BB6B81" w:rsidRDefault="00C70E61" w:rsidP="00C70E61">
      <w:pPr>
        <w:rPr>
          <w:rFonts w:eastAsia="Calibri" w:cs="Arial"/>
          <w:color w:val="5B9BD5" w:themeColor="accent1"/>
          <w:sz w:val="22"/>
          <w:szCs w:val="22"/>
          <w:lang w:val="en-CA"/>
        </w:rPr>
      </w:pPr>
    </w:p>
    <w:p w14:paraId="0C2C858D" w14:textId="583DA38D" w:rsidR="007E7F4E" w:rsidRPr="007E7F4E" w:rsidRDefault="007152EF" w:rsidP="00DD73AE">
      <w:pPr>
        <w:pStyle w:val="Heading3"/>
      </w:pPr>
      <w:r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24A31BB6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3D79B2" w:rsidRPr="003D79B2">
              <w:rPr>
                <w:rFonts w:cs="Arial"/>
                <w:sz w:val="22"/>
                <w:szCs w:val="22"/>
              </w:rPr>
              <w:t>Initiate workforce planning design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0556" w14:textId="4E8180DF" w:rsidR="00F83347" w:rsidRPr="00F83347" w:rsidRDefault="00F83347" w:rsidP="00F8334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F83347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Define the scope</w:t>
            </w:r>
            <w:r w:rsidR="00A7432F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  <w:r w:rsidRPr="00F83347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14:paraId="2CAF8FA8" w14:textId="2CB0B7DA" w:rsidR="00F83347" w:rsidRPr="00F83347" w:rsidRDefault="00F83347" w:rsidP="00F8334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F83347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Set clear goals</w:t>
            </w:r>
            <w:r w:rsidR="00A7432F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  <w:r w:rsidRPr="00F83347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14:paraId="6626EA95" w14:textId="17029F3A" w:rsidR="00F83347" w:rsidRPr="00F83347" w:rsidRDefault="00F83347" w:rsidP="00F8334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F83347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Review the current state</w:t>
            </w:r>
            <w:r w:rsidR="00A7432F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122EECDB" w14:textId="5AA3242C" w:rsidR="007E7F4E" w:rsidRPr="00C477D9" w:rsidRDefault="00F83347" w:rsidP="00F8334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F83347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Complete part 1 of the </w:t>
            </w:r>
            <w:r w:rsidRPr="00A7432F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Workforce Planning Process Worksheet</w:t>
            </w:r>
            <w:r w:rsidR="007E7F4E" w:rsidRPr="00C477D9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2D413A71" w14:textId="77777777" w:rsidR="007E7F4E" w:rsidRPr="00C477D9" w:rsidRDefault="007E7F4E" w:rsidP="009765E0">
            <w:pPr>
              <w:spacing w:before="6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23A36CC2" w14:textId="77777777" w:rsidR="00531A56" w:rsidRPr="00531A56" w:rsidRDefault="00531A56" w:rsidP="00531A56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531A56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Standard Project Charter</w:t>
            </w:r>
          </w:p>
          <w:p w14:paraId="4F901715" w14:textId="77777777" w:rsidR="00531A56" w:rsidRPr="00531A56" w:rsidRDefault="00531A56" w:rsidP="00531A56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531A56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HR Metrics Library</w:t>
            </w:r>
          </w:p>
          <w:p w14:paraId="65D25AD7" w14:textId="77777777" w:rsidR="00531A56" w:rsidRPr="00531A56" w:rsidRDefault="00531A56" w:rsidP="00531A56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531A56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Workforce Planning Process Worksheet</w:t>
            </w:r>
          </w:p>
          <w:p w14:paraId="51F3DE9E" w14:textId="77777777" w:rsidR="00531A56" w:rsidRPr="00531A56" w:rsidRDefault="00531A56" w:rsidP="00531A56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531A56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Workforce Planning Workbook</w:t>
            </w:r>
          </w:p>
          <w:p w14:paraId="0A1AFD94" w14:textId="13B03E8D" w:rsidR="007E7F4E" w:rsidRPr="007152EF" w:rsidRDefault="00531A56" w:rsidP="009765E0">
            <w:pPr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 w:rsidRPr="00531A56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Case Studies: Design and Build a Strategic Workforce Planning Toolkit</w:t>
            </w:r>
          </w:p>
        </w:tc>
      </w:tr>
      <w:tr w:rsidR="007E7F4E" w:rsidRPr="007152E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03AA7B0F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6433F6" w:rsidRPr="006433F6">
              <w:rPr>
                <w:rFonts w:cs="Arial"/>
                <w:sz w:val="22"/>
                <w:szCs w:val="22"/>
              </w:rPr>
              <w:t>Build the analysis toolkit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8E1A" w14:textId="71AB1063" w:rsidR="00F32D34" w:rsidRPr="00F32D34" w:rsidRDefault="00F32D34" w:rsidP="00F32D34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F32D34">
              <w:rPr>
                <w:rFonts w:cs="Arial"/>
                <w:sz w:val="22"/>
                <w:szCs w:val="22"/>
                <w:lang w:val="en-CA"/>
              </w:rPr>
              <w:t>Create a toolkit that enables leaders to effectively identify the needs of their workforce</w:t>
            </w:r>
            <w:r w:rsidR="00A7432F"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1D7165EC" w14:textId="4AA09ED3" w:rsidR="00F32D34" w:rsidRPr="00F32D34" w:rsidRDefault="00F32D34" w:rsidP="00F32D34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F32D34">
              <w:rPr>
                <w:rFonts w:cs="Arial"/>
                <w:sz w:val="22"/>
                <w:szCs w:val="22"/>
                <w:lang w:val="en-CA"/>
              </w:rPr>
              <w:t xml:space="preserve">Customize the </w:t>
            </w:r>
            <w:r w:rsidRPr="00A7432F">
              <w:rPr>
                <w:rFonts w:cs="Arial"/>
                <w:i/>
                <w:iCs/>
                <w:sz w:val="22"/>
                <w:szCs w:val="22"/>
                <w:lang w:val="en-CA"/>
              </w:rPr>
              <w:t>Workforce Planning Discussion Guide</w:t>
            </w:r>
            <w:r w:rsidRPr="00F32D34">
              <w:rPr>
                <w:rFonts w:cs="Arial"/>
                <w:sz w:val="22"/>
                <w:szCs w:val="22"/>
                <w:lang w:val="en-CA"/>
              </w:rPr>
              <w:t xml:space="preserve"> and </w:t>
            </w:r>
            <w:r w:rsidRPr="00A7432F">
              <w:rPr>
                <w:rFonts w:cs="Arial"/>
                <w:i/>
                <w:iCs/>
                <w:sz w:val="22"/>
                <w:szCs w:val="22"/>
                <w:lang w:val="en-CA"/>
              </w:rPr>
              <w:t>Workforce Planning Discussion Notebook</w:t>
            </w:r>
            <w:r w:rsidR="00A7432F">
              <w:rPr>
                <w:rFonts w:cs="Arial"/>
                <w:i/>
                <w:iCs/>
                <w:sz w:val="22"/>
                <w:szCs w:val="22"/>
                <w:lang w:val="en-CA"/>
              </w:rPr>
              <w:t>.</w:t>
            </w:r>
          </w:p>
          <w:p w14:paraId="2FC460BC" w14:textId="3AA5643A" w:rsidR="007E7F4E" w:rsidRPr="00C477D9" w:rsidRDefault="00F32D34" w:rsidP="00F32D34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F32D34">
              <w:rPr>
                <w:rFonts w:cs="Arial"/>
                <w:sz w:val="22"/>
                <w:szCs w:val="22"/>
                <w:lang w:val="en-CA"/>
              </w:rPr>
              <w:t xml:space="preserve">Complete part 2 of the </w:t>
            </w:r>
            <w:r w:rsidRPr="00DF600A">
              <w:rPr>
                <w:rFonts w:cs="Arial"/>
                <w:i/>
                <w:iCs/>
                <w:sz w:val="22"/>
                <w:szCs w:val="22"/>
                <w:lang w:val="en-CA"/>
              </w:rPr>
              <w:t>Workforce Planning Process Worksheet</w:t>
            </w:r>
            <w:r w:rsidR="00DF600A">
              <w:rPr>
                <w:rFonts w:cs="Arial"/>
                <w:i/>
                <w:iCs/>
                <w:sz w:val="22"/>
                <w:szCs w:val="22"/>
                <w:lang w:val="en-CA"/>
              </w:rPr>
              <w:t>.</w:t>
            </w:r>
          </w:p>
          <w:p w14:paraId="1BBFCD43" w14:textId="77777777" w:rsidR="007E7F4E" w:rsidRPr="00C477D9" w:rsidRDefault="007E7F4E" w:rsidP="009765E0">
            <w:pPr>
              <w:spacing w:before="60"/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50DA85AE" w14:textId="77777777" w:rsidR="001F16DF" w:rsidRPr="001F16DF" w:rsidRDefault="001F16DF" w:rsidP="001F16DF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1F16DF">
              <w:rPr>
                <w:rFonts w:cs="Arial"/>
                <w:i/>
                <w:iCs/>
                <w:sz w:val="22"/>
                <w:szCs w:val="22"/>
                <w:lang w:val="en-CA"/>
              </w:rPr>
              <w:t>Workforce Planning Discussion Notebook</w:t>
            </w:r>
          </w:p>
          <w:p w14:paraId="6A4753ED" w14:textId="77777777" w:rsidR="001F16DF" w:rsidRPr="001F16DF" w:rsidRDefault="001F16DF" w:rsidP="001F16DF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1F16DF">
              <w:rPr>
                <w:rFonts w:cs="Arial"/>
                <w:i/>
                <w:iCs/>
                <w:sz w:val="22"/>
                <w:szCs w:val="22"/>
                <w:lang w:val="en-CA"/>
              </w:rPr>
              <w:t>Workforce Planning Process Worksheet</w:t>
            </w:r>
          </w:p>
          <w:p w14:paraId="4D6BA4A1" w14:textId="77777777" w:rsidR="001F16DF" w:rsidRPr="001F16DF" w:rsidRDefault="001F16DF" w:rsidP="001F16DF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1F16DF">
              <w:rPr>
                <w:rFonts w:cs="Arial"/>
                <w:i/>
                <w:iCs/>
                <w:sz w:val="22"/>
                <w:szCs w:val="22"/>
                <w:lang w:val="en-CA"/>
              </w:rPr>
              <w:t>Workforce Planning Discussion Guide</w:t>
            </w:r>
          </w:p>
          <w:p w14:paraId="28324953" w14:textId="3597A628" w:rsidR="007E7F4E" w:rsidRPr="00C477D9" w:rsidRDefault="001F16DF" w:rsidP="009765E0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cs="Arial"/>
                <w:sz w:val="22"/>
                <w:szCs w:val="22"/>
                <w:lang w:val="en-CA"/>
              </w:rPr>
            </w:pPr>
            <w:r w:rsidRPr="001F16DF">
              <w:rPr>
                <w:rFonts w:cs="Arial"/>
                <w:i/>
                <w:iCs/>
                <w:sz w:val="22"/>
                <w:szCs w:val="22"/>
                <w:lang w:val="en-CA"/>
              </w:rPr>
              <w:t>Strategy Exploration Guide</w:t>
            </w:r>
          </w:p>
        </w:tc>
      </w:tr>
      <w:tr w:rsidR="007E7F4E" w:rsidRPr="007152E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553B7630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D006B0" w:rsidRPr="00D006B0">
              <w:rPr>
                <w:rFonts w:cs="Arial"/>
                <w:sz w:val="22"/>
                <w:szCs w:val="22"/>
              </w:rPr>
              <w:t>Design the forecast framework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2215" w14:textId="66F4E4E7" w:rsidR="00947499" w:rsidRPr="00947499" w:rsidRDefault="00947499" w:rsidP="00947499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947499">
              <w:rPr>
                <w:rFonts w:cs="Arial"/>
                <w:sz w:val="22"/>
                <w:szCs w:val="22"/>
                <w:lang w:val="en-CA"/>
              </w:rPr>
              <w:t>Determine the approach to critical roles</w:t>
            </w:r>
            <w:r w:rsidR="00DF600A">
              <w:rPr>
                <w:rFonts w:cs="Arial"/>
                <w:sz w:val="22"/>
                <w:szCs w:val="22"/>
                <w:lang w:val="en-CA"/>
              </w:rPr>
              <w:t>.</w:t>
            </w:r>
            <w:r w:rsidRPr="00947499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5FE53799" w14:textId="467C19D6" w:rsidR="00947499" w:rsidRPr="00947499" w:rsidRDefault="00947499" w:rsidP="00947499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947499">
              <w:rPr>
                <w:rFonts w:cs="Arial"/>
                <w:sz w:val="22"/>
                <w:szCs w:val="22"/>
                <w:lang w:val="en-CA"/>
              </w:rPr>
              <w:t>Create a framework for creating supply and demand projections</w:t>
            </w:r>
            <w:r w:rsidR="00DF600A"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7792DCB8" w14:textId="43B0D4FD" w:rsidR="00947499" w:rsidRPr="00947499" w:rsidRDefault="00947499" w:rsidP="00947499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947499">
              <w:rPr>
                <w:rFonts w:cs="Arial"/>
                <w:sz w:val="22"/>
                <w:szCs w:val="22"/>
                <w:lang w:val="en-CA"/>
              </w:rPr>
              <w:t>Determine whether workforce plans will apply across the entire organization or for each function</w:t>
            </w:r>
            <w:r w:rsidR="00DF600A"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760B7BDA" w14:textId="640960DE" w:rsidR="007E7F4E" w:rsidRPr="00C477D9" w:rsidRDefault="00947499" w:rsidP="00947499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947499">
              <w:rPr>
                <w:rFonts w:cs="Arial"/>
                <w:sz w:val="22"/>
                <w:szCs w:val="22"/>
                <w:lang w:val="en-CA"/>
              </w:rPr>
              <w:t xml:space="preserve">Complete part 3 of the </w:t>
            </w:r>
            <w:r w:rsidRPr="00DF600A">
              <w:rPr>
                <w:rFonts w:cs="Arial"/>
                <w:i/>
                <w:iCs/>
                <w:sz w:val="22"/>
                <w:szCs w:val="22"/>
                <w:lang w:val="en-CA"/>
              </w:rPr>
              <w:t>Workforce Planning Process Worksheet</w:t>
            </w:r>
            <w:r w:rsidR="00DF600A">
              <w:rPr>
                <w:rFonts w:cs="Arial"/>
                <w:sz w:val="22"/>
                <w:szCs w:val="22"/>
                <w:lang w:val="en-CA"/>
              </w:rPr>
              <w:t>.</w:t>
            </w:r>
          </w:p>
          <w:p w14:paraId="319B4A5D" w14:textId="77777777" w:rsidR="007E7F4E" w:rsidRPr="00C477D9" w:rsidRDefault="007E7F4E" w:rsidP="009765E0">
            <w:pPr>
              <w:spacing w:before="60"/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382A0F64" w14:textId="77777777" w:rsidR="003A37C4" w:rsidRPr="003A37C4" w:rsidRDefault="003A37C4" w:rsidP="003A37C4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3A37C4">
              <w:rPr>
                <w:rFonts w:cs="Arial"/>
                <w:i/>
                <w:iCs/>
                <w:sz w:val="22"/>
                <w:szCs w:val="22"/>
                <w:lang w:val="en-CA"/>
              </w:rPr>
              <w:t>Workforce Planning Workbook</w:t>
            </w:r>
          </w:p>
          <w:p w14:paraId="409D3D54" w14:textId="77777777" w:rsidR="003A37C4" w:rsidRPr="003A37C4" w:rsidRDefault="003A37C4" w:rsidP="003A37C4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3A37C4">
              <w:rPr>
                <w:rFonts w:cs="Arial"/>
                <w:i/>
                <w:iCs/>
                <w:sz w:val="22"/>
                <w:szCs w:val="22"/>
                <w:lang w:val="en-CA"/>
              </w:rPr>
              <w:t>Supply and Demand Forecasting Job Aid</w:t>
            </w:r>
          </w:p>
          <w:p w14:paraId="6B469CB9" w14:textId="77777777" w:rsidR="003A37C4" w:rsidRPr="003A37C4" w:rsidRDefault="003A37C4" w:rsidP="003A37C4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3A37C4">
              <w:rPr>
                <w:rFonts w:cs="Arial"/>
                <w:i/>
                <w:iCs/>
                <w:sz w:val="22"/>
                <w:szCs w:val="22"/>
                <w:lang w:val="en-CA"/>
              </w:rPr>
              <w:t>Workforce Planning Process Worksheet</w:t>
            </w:r>
          </w:p>
          <w:p w14:paraId="3BCC303B" w14:textId="0EF763EA" w:rsidR="007E7F4E" w:rsidRPr="00C477D9" w:rsidRDefault="003A37C4" w:rsidP="009765E0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cs="Arial"/>
                <w:sz w:val="22"/>
                <w:szCs w:val="22"/>
                <w:lang w:val="en-CA"/>
              </w:rPr>
            </w:pPr>
            <w:r w:rsidRPr="003A37C4">
              <w:rPr>
                <w:rFonts w:cs="Arial"/>
                <w:i/>
                <w:iCs/>
                <w:sz w:val="22"/>
                <w:szCs w:val="22"/>
                <w:lang w:val="en-CA"/>
              </w:rPr>
              <w:t>Critical Role Identifier</w:t>
            </w:r>
          </w:p>
        </w:tc>
      </w:tr>
      <w:tr w:rsidR="007E7F4E" w:rsidRPr="007152EF" w14:paraId="6DFCAA26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6D36" w14:textId="333A3142" w:rsidR="007E7F4E" w:rsidRPr="007152EF" w:rsidRDefault="007E7F4E" w:rsidP="00421D70">
            <w:pPr>
              <w:pStyle w:val="Heading4"/>
              <w:spacing w:before="0" w:line="264" w:lineRule="atLeast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4</w:t>
            </w:r>
            <w:r w:rsidRPr="007152EF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. </w:t>
            </w:r>
            <w:r w:rsidR="002F59D6" w:rsidRPr="002F59D6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Establish integration points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D690" w14:textId="070221F7" w:rsidR="00915DB0" w:rsidRPr="00915DB0" w:rsidRDefault="00915DB0" w:rsidP="00915DB0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915DB0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Decide how results will connect to related programs and processes</w:t>
            </w:r>
            <w:r w:rsidR="00CC22D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358FF5C1" w14:textId="109ED830" w:rsidR="00915DB0" w:rsidRPr="00915DB0" w:rsidRDefault="00915DB0" w:rsidP="00915DB0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915DB0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Create a project plan</w:t>
            </w:r>
            <w:r w:rsidR="00CC22D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2828008B" w14:textId="5DF5DFC0" w:rsidR="007E7F4E" w:rsidRPr="00C477D9" w:rsidRDefault="00915DB0" w:rsidP="00915DB0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915DB0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Communicate the process to key stakeholders</w:t>
            </w:r>
            <w:r w:rsidR="00CC22D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.</w:t>
            </w:r>
            <w:r w:rsidR="007E7F4E" w:rsidRPr="00C477D9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14:paraId="21A995D6" w14:textId="77777777" w:rsidR="007E7F4E" w:rsidRPr="00C477D9" w:rsidRDefault="007E7F4E" w:rsidP="009765E0">
            <w:pPr>
              <w:spacing w:before="6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4840E4A7" w14:textId="77777777" w:rsidR="007619E3" w:rsidRPr="007619E3" w:rsidRDefault="007619E3" w:rsidP="007619E3">
            <w:pPr>
              <w:numPr>
                <w:ilvl w:val="0"/>
                <w:numId w:val="17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7619E3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Process Mapping Guide</w:t>
            </w:r>
          </w:p>
          <w:p w14:paraId="7C90ADFC" w14:textId="77777777" w:rsidR="007619E3" w:rsidRPr="007619E3" w:rsidRDefault="007619E3" w:rsidP="007619E3">
            <w:pPr>
              <w:numPr>
                <w:ilvl w:val="0"/>
                <w:numId w:val="17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7619E3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Project Roadmap Tool</w:t>
            </w:r>
          </w:p>
          <w:p w14:paraId="01E5F535" w14:textId="556F9C26" w:rsidR="007E7F4E" w:rsidRPr="00C477D9" w:rsidRDefault="007619E3" w:rsidP="009765E0">
            <w:pPr>
              <w:numPr>
                <w:ilvl w:val="0"/>
                <w:numId w:val="17"/>
              </w:numPr>
              <w:spacing w:after="120"/>
              <w:ind w:left="357" w:hanging="357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619E3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HR Metrics Library</w:t>
            </w:r>
          </w:p>
        </w:tc>
      </w:tr>
    </w:tbl>
    <w:p w14:paraId="1C8A4A52" w14:textId="77777777" w:rsidR="001F16DF" w:rsidRDefault="001F16DF" w:rsidP="00BA7D52">
      <w:pPr>
        <w:jc w:val="center"/>
      </w:pPr>
    </w:p>
    <w:p w14:paraId="51D5375B" w14:textId="635A5C0D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4711218B" w14:textId="0912AE8D" w:rsidR="00C8415D" w:rsidRPr="008B4684" w:rsidRDefault="00DB120E" w:rsidP="009765E0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sectPr w:rsidR="00C8415D" w:rsidRPr="008B4684" w:rsidSect="001F28E7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7F79" w14:textId="77777777" w:rsidR="001F28E7" w:rsidRDefault="001F28E7">
      <w:r>
        <w:separator/>
      </w:r>
    </w:p>
  </w:endnote>
  <w:endnote w:type="continuationSeparator" w:id="0">
    <w:p w14:paraId="2169565E" w14:textId="77777777" w:rsidR="001F28E7" w:rsidRDefault="001F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5C84" w14:textId="77777777" w:rsidR="001F28E7" w:rsidRDefault="001F28E7">
      <w:r>
        <w:separator/>
      </w:r>
    </w:p>
  </w:footnote>
  <w:footnote w:type="continuationSeparator" w:id="0">
    <w:p w14:paraId="2E84C7CE" w14:textId="77777777" w:rsidR="001F28E7" w:rsidRDefault="001F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069A5462" w:rsidR="00701BB0" w:rsidRPr="004D32EB" w:rsidRDefault="002B365E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029ABF80" wp14:editId="6741AE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8400" cy="993600"/>
          <wp:effectExtent l="0" t="0" r="2540" b="0"/>
          <wp:wrapSquare wrapText="bothSides"/>
          <wp:docPr id="1524314127" name="Picture 152431412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3477072"/>
    <w:multiLevelType w:val="hybridMultilevel"/>
    <w:tmpl w:val="04E8B5C4"/>
    <w:lvl w:ilvl="0" w:tplc="B3403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85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C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6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A0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8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2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04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5376610"/>
    <w:multiLevelType w:val="hybridMultilevel"/>
    <w:tmpl w:val="89A4BA3C"/>
    <w:lvl w:ilvl="0" w:tplc="490E2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4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6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C6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83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0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1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05A8"/>
    <w:multiLevelType w:val="hybridMultilevel"/>
    <w:tmpl w:val="3D181E64"/>
    <w:lvl w:ilvl="0" w:tplc="4E56B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7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0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69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8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6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C3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A6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C74528C"/>
    <w:multiLevelType w:val="hybridMultilevel"/>
    <w:tmpl w:val="35A447E8"/>
    <w:lvl w:ilvl="0" w:tplc="254AC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A4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C6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E2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2C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8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8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2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7618"/>
    <w:multiLevelType w:val="hybridMultilevel"/>
    <w:tmpl w:val="6FD25600"/>
    <w:lvl w:ilvl="0" w:tplc="AB16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9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8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C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67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4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8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214135">
    <w:abstractNumId w:val="13"/>
  </w:num>
  <w:num w:numId="2" w16cid:durableId="243803336">
    <w:abstractNumId w:val="23"/>
  </w:num>
  <w:num w:numId="3" w16cid:durableId="1903635307">
    <w:abstractNumId w:val="20"/>
  </w:num>
  <w:num w:numId="4" w16cid:durableId="1736196239">
    <w:abstractNumId w:val="3"/>
  </w:num>
  <w:num w:numId="5" w16cid:durableId="218978294">
    <w:abstractNumId w:val="5"/>
  </w:num>
  <w:num w:numId="6" w16cid:durableId="283772078">
    <w:abstractNumId w:val="26"/>
  </w:num>
  <w:num w:numId="7" w16cid:durableId="233904697">
    <w:abstractNumId w:val="16"/>
  </w:num>
  <w:num w:numId="8" w16cid:durableId="1841507291">
    <w:abstractNumId w:val="24"/>
  </w:num>
  <w:num w:numId="9" w16cid:durableId="1991131683">
    <w:abstractNumId w:val="22"/>
  </w:num>
  <w:num w:numId="10" w16cid:durableId="537357702">
    <w:abstractNumId w:val="2"/>
  </w:num>
  <w:num w:numId="11" w16cid:durableId="618344547">
    <w:abstractNumId w:val="4"/>
  </w:num>
  <w:num w:numId="12" w16cid:durableId="1245191086">
    <w:abstractNumId w:val="17"/>
  </w:num>
  <w:num w:numId="13" w16cid:durableId="1318999093">
    <w:abstractNumId w:val="21"/>
  </w:num>
  <w:num w:numId="14" w16cid:durableId="357005834">
    <w:abstractNumId w:val="14"/>
  </w:num>
  <w:num w:numId="15" w16cid:durableId="1595239249">
    <w:abstractNumId w:val="0"/>
  </w:num>
  <w:num w:numId="16" w16cid:durableId="1727610425">
    <w:abstractNumId w:val="6"/>
  </w:num>
  <w:num w:numId="17" w16cid:durableId="1617834837">
    <w:abstractNumId w:val="11"/>
  </w:num>
  <w:num w:numId="18" w16cid:durableId="654265843">
    <w:abstractNumId w:val="25"/>
  </w:num>
  <w:num w:numId="19" w16cid:durableId="326829378">
    <w:abstractNumId w:val="7"/>
  </w:num>
  <w:num w:numId="20" w16cid:durableId="2094666982">
    <w:abstractNumId w:val="18"/>
  </w:num>
  <w:num w:numId="21" w16cid:durableId="490024847">
    <w:abstractNumId w:val="9"/>
  </w:num>
  <w:num w:numId="22" w16cid:durableId="2125996460">
    <w:abstractNumId w:val="12"/>
  </w:num>
  <w:num w:numId="23" w16cid:durableId="892929210">
    <w:abstractNumId w:val="10"/>
  </w:num>
  <w:num w:numId="24" w16cid:durableId="1353415704">
    <w:abstractNumId w:val="15"/>
  </w:num>
  <w:num w:numId="25" w16cid:durableId="1627345672">
    <w:abstractNumId w:val="1"/>
  </w:num>
  <w:num w:numId="26" w16cid:durableId="1355302908">
    <w:abstractNumId w:val="8"/>
  </w:num>
  <w:num w:numId="27" w16cid:durableId="9738301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3B26"/>
    <w:rsid w:val="0005512F"/>
    <w:rsid w:val="00077963"/>
    <w:rsid w:val="000D63E7"/>
    <w:rsid w:val="000E6FB4"/>
    <w:rsid w:val="000F48BE"/>
    <w:rsid w:val="0010494C"/>
    <w:rsid w:val="00134035"/>
    <w:rsid w:val="00150238"/>
    <w:rsid w:val="00186D07"/>
    <w:rsid w:val="001F16DF"/>
    <w:rsid w:val="001F28E7"/>
    <w:rsid w:val="001F431F"/>
    <w:rsid w:val="0020649A"/>
    <w:rsid w:val="00217DDD"/>
    <w:rsid w:val="00234116"/>
    <w:rsid w:val="002344C3"/>
    <w:rsid w:val="00253948"/>
    <w:rsid w:val="002B365E"/>
    <w:rsid w:val="002C17B1"/>
    <w:rsid w:val="002C6A38"/>
    <w:rsid w:val="002D034A"/>
    <w:rsid w:val="002F59D6"/>
    <w:rsid w:val="003018D3"/>
    <w:rsid w:val="00343D15"/>
    <w:rsid w:val="00364660"/>
    <w:rsid w:val="003A37C4"/>
    <w:rsid w:val="003B3B7E"/>
    <w:rsid w:val="003D54E3"/>
    <w:rsid w:val="003D79B2"/>
    <w:rsid w:val="004069F4"/>
    <w:rsid w:val="00455B7B"/>
    <w:rsid w:val="00486B78"/>
    <w:rsid w:val="00492F5D"/>
    <w:rsid w:val="004D32EB"/>
    <w:rsid w:val="004F57CC"/>
    <w:rsid w:val="004F62F6"/>
    <w:rsid w:val="00514649"/>
    <w:rsid w:val="00531A56"/>
    <w:rsid w:val="005328F4"/>
    <w:rsid w:val="00547856"/>
    <w:rsid w:val="005C7852"/>
    <w:rsid w:val="0061655C"/>
    <w:rsid w:val="006433F6"/>
    <w:rsid w:val="00665160"/>
    <w:rsid w:val="006B0CA8"/>
    <w:rsid w:val="00701BB0"/>
    <w:rsid w:val="00711D89"/>
    <w:rsid w:val="007152EF"/>
    <w:rsid w:val="00715498"/>
    <w:rsid w:val="0075457E"/>
    <w:rsid w:val="007619E3"/>
    <w:rsid w:val="00775EA1"/>
    <w:rsid w:val="007E7F4E"/>
    <w:rsid w:val="007F055E"/>
    <w:rsid w:val="00801B44"/>
    <w:rsid w:val="00803CE4"/>
    <w:rsid w:val="0081572D"/>
    <w:rsid w:val="00830085"/>
    <w:rsid w:val="00837416"/>
    <w:rsid w:val="00852583"/>
    <w:rsid w:val="00890844"/>
    <w:rsid w:val="00892CA5"/>
    <w:rsid w:val="008A1938"/>
    <w:rsid w:val="008A2A5C"/>
    <w:rsid w:val="008B4684"/>
    <w:rsid w:val="008B6398"/>
    <w:rsid w:val="008C14C7"/>
    <w:rsid w:val="008C5E54"/>
    <w:rsid w:val="008F5841"/>
    <w:rsid w:val="00915DB0"/>
    <w:rsid w:val="00923F3F"/>
    <w:rsid w:val="00947499"/>
    <w:rsid w:val="0096410E"/>
    <w:rsid w:val="009765E0"/>
    <w:rsid w:val="009A3063"/>
    <w:rsid w:val="009A5459"/>
    <w:rsid w:val="00A7432F"/>
    <w:rsid w:val="00A761A0"/>
    <w:rsid w:val="00AC45C3"/>
    <w:rsid w:val="00B919C6"/>
    <w:rsid w:val="00BA7D52"/>
    <w:rsid w:val="00BB6B81"/>
    <w:rsid w:val="00C00C9D"/>
    <w:rsid w:val="00C477D9"/>
    <w:rsid w:val="00C47B87"/>
    <w:rsid w:val="00C50C04"/>
    <w:rsid w:val="00C70E61"/>
    <w:rsid w:val="00C8415D"/>
    <w:rsid w:val="00CA08B6"/>
    <w:rsid w:val="00CA0EDC"/>
    <w:rsid w:val="00CB15B0"/>
    <w:rsid w:val="00CC22D3"/>
    <w:rsid w:val="00D006B0"/>
    <w:rsid w:val="00D0516C"/>
    <w:rsid w:val="00D1592E"/>
    <w:rsid w:val="00D206DA"/>
    <w:rsid w:val="00D92959"/>
    <w:rsid w:val="00D97422"/>
    <w:rsid w:val="00DB120E"/>
    <w:rsid w:val="00DD73AE"/>
    <w:rsid w:val="00DF35DF"/>
    <w:rsid w:val="00DF600A"/>
    <w:rsid w:val="00E5584D"/>
    <w:rsid w:val="00ED554A"/>
    <w:rsid w:val="00ED5761"/>
    <w:rsid w:val="00F32D34"/>
    <w:rsid w:val="00F83347"/>
    <w:rsid w:val="00F86E04"/>
    <w:rsid w:val="00F9338F"/>
    <w:rsid w:val="00FA3C12"/>
    <w:rsid w:val="00FC0A49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15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125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415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435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72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870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008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766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566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2EFC79-6B8B-4339-8FD8-84EBCFCFF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2024-01-30T16:59:00Z</dcterms:created>
  <dcterms:modified xsi:type="dcterms:W3CDTF">2024-01-30T16:59:00Z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2024-01-30T16:59:51Z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837f2cec-1edb-410d-adc7-054ca2e8e8e1</vt:lpwstr>
  </property>
  <property fmtid="{D5CDD505-2E9C-101B-9397-08002B2CF9AE}" pid="8" name="MSIP_Label_7d24214e-5322-4789-8422-cbe411bc3a74_ContentBits">
    <vt:lpwstr>0</vt:lpwstr>
  </property>
</Properties>
</file>