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16FE9" w14:textId="6EACDDC0" w:rsidR="008B4684" w:rsidRPr="00D9790E" w:rsidRDefault="00D314A2" w:rsidP="004F62F6">
      <w:pPr>
        <w:pStyle w:val="Heading1"/>
      </w:pPr>
      <w:r w:rsidRPr="00D9790E">
        <w:t>Create a Talent Acquisition Strategy</w:t>
      </w:r>
      <w:r w:rsidR="004F62F6" w:rsidRPr="00D9790E">
        <w:t xml:space="preserve"> </w:t>
      </w:r>
      <w:r w:rsidR="0020649A" w:rsidRPr="00D9790E">
        <w:t>Executive Briefing</w:t>
      </w:r>
    </w:p>
    <w:p w14:paraId="6D835752" w14:textId="23AA0717" w:rsidR="00150238" w:rsidRPr="00D9790E" w:rsidRDefault="007152EF" w:rsidP="004F62F6">
      <w:pPr>
        <w:pStyle w:val="Heading3"/>
        <w:rPr>
          <w:rFonts w:eastAsia="Calibri"/>
        </w:rPr>
      </w:pPr>
      <w:r w:rsidRPr="00D9790E">
        <w:rPr>
          <w:rFonts w:eastAsia="Calibri"/>
        </w:rPr>
        <w:t>Summary</w:t>
      </w:r>
    </w:p>
    <w:p w14:paraId="7D02312E" w14:textId="5314D95A" w:rsidR="007152EF" w:rsidRPr="00D9790E" w:rsidRDefault="00D314A2" w:rsidP="007152EF">
      <w:pPr>
        <w:rPr>
          <w:rFonts w:cs="Arial"/>
          <w:sz w:val="22"/>
          <w:szCs w:val="22"/>
          <w:lang w:val="en-CA"/>
        </w:rPr>
      </w:pPr>
      <w:r w:rsidRPr="00D9790E">
        <w:rPr>
          <w:rFonts w:eastAsia="Calibri" w:cs="Arial"/>
          <w:sz w:val="22"/>
          <w:szCs w:val="22"/>
        </w:rPr>
        <w:t xml:space="preserve">There is growing recognition of the critical role </w:t>
      </w:r>
      <w:r w:rsidR="00EA4B34">
        <w:rPr>
          <w:rFonts w:eastAsia="Calibri" w:cs="Arial"/>
          <w:sz w:val="22"/>
          <w:szCs w:val="22"/>
        </w:rPr>
        <w:t>Talen</w:t>
      </w:r>
      <w:r w:rsidR="00A21788">
        <w:rPr>
          <w:rFonts w:eastAsia="Calibri" w:cs="Arial"/>
          <w:sz w:val="22"/>
          <w:szCs w:val="22"/>
        </w:rPr>
        <w:t>t</w:t>
      </w:r>
      <w:r w:rsidR="00EA4B34">
        <w:rPr>
          <w:rFonts w:eastAsia="Calibri" w:cs="Arial"/>
          <w:sz w:val="22"/>
          <w:szCs w:val="22"/>
        </w:rPr>
        <w:t xml:space="preserve"> Acquisition (</w:t>
      </w:r>
      <w:r w:rsidRPr="00D9790E">
        <w:rPr>
          <w:rFonts w:eastAsia="Calibri" w:cs="Arial"/>
          <w:sz w:val="22"/>
          <w:szCs w:val="22"/>
        </w:rPr>
        <w:t>TA</w:t>
      </w:r>
      <w:r w:rsidR="00EA4B34">
        <w:rPr>
          <w:rFonts w:eastAsia="Calibri" w:cs="Arial"/>
          <w:sz w:val="22"/>
          <w:szCs w:val="22"/>
        </w:rPr>
        <w:t>)</w:t>
      </w:r>
      <w:r w:rsidRPr="00D9790E">
        <w:rPr>
          <w:rFonts w:eastAsia="Calibri" w:cs="Arial"/>
          <w:sz w:val="22"/>
          <w:szCs w:val="22"/>
        </w:rPr>
        <w:t xml:space="preserve"> plays in achieving organizational success. As a result, TA is being challenged to act strategically and align its approach with the organization’s talent needs. However, stakeholders </w:t>
      </w:r>
      <w:r w:rsidR="00EA2830">
        <w:rPr>
          <w:rFonts w:eastAsia="Calibri" w:cs="Arial"/>
          <w:sz w:val="22"/>
          <w:szCs w:val="22"/>
        </w:rPr>
        <w:t>are often</w:t>
      </w:r>
      <w:r w:rsidRPr="00D9790E">
        <w:rPr>
          <w:rFonts w:eastAsia="Calibri" w:cs="Arial"/>
          <w:sz w:val="22"/>
          <w:szCs w:val="22"/>
        </w:rPr>
        <w:t xml:space="preserve"> dissatisfied with the TA function.</w:t>
      </w:r>
    </w:p>
    <w:p w14:paraId="367DAAAC" w14:textId="3C049E29" w:rsidR="007E7F4E" w:rsidRPr="00D9790E" w:rsidRDefault="00801B44" w:rsidP="004F62F6">
      <w:pPr>
        <w:pStyle w:val="Heading3"/>
        <w:rPr>
          <w:sz w:val="22"/>
          <w:szCs w:val="22"/>
        </w:rPr>
      </w:pPr>
      <w:r w:rsidRPr="00D9790E">
        <w:t>Our Recommendation</w:t>
      </w:r>
      <w:r w:rsidR="007E7F4E" w:rsidRPr="00D9790E">
        <w:t xml:space="preserve"> </w:t>
      </w:r>
    </w:p>
    <w:p w14:paraId="54C52FD6" w14:textId="228AB3F2" w:rsidR="007E7F4E" w:rsidRPr="00D9790E" w:rsidRDefault="00C35EC8" w:rsidP="004F62F6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D9790E">
        <w:rPr>
          <w:rFonts w:ascii="Arial" w:hAnsi="Arial" w:cs="Arial"/>
        </w:rPr>
        <w:t>Use a defined framework to create a TA strategy that identifies TA strategic objectives and the projects needed to support and drive the organization’s priorities.</w:t>
      </w:r>
      <w:r w:rsidR="00650698">
        <w:rPr>
          <w:rFonts w:ascii="Arial" w:hAnsi="Arial" w:cs="Arial"/>
        </w:rPr>
        <w:t xml:space="preserve"> </w:t>
      </w:r>
      <w:r w:rsidRPr="00D9790E">
        <w:rPr>
          <w:rFonts w:ascii="Arial" w:hAnsi="Arial" w:cs="Arial"/>
        </w:rPr>
        <w:t xml:space="preserve">Holistically assess and optimize the foundational strategic elements of TA – </w:t>
      </w:r>
      <w:r w:rsidR="00EF394C" w:rsidRPr="00D9790E">
        <w:rPr>
          <w:rFonts w:ascii="Arial" w:hAnsi="Arial" w:cs="Arial"/>
        </w:rPr>
        <w:t xml:space="preserve">candidate awareness </w:t>
      </w:r>
      <w:r w:rsidRPr="00D9790E">
        <w:rPr>
          <w:rFonts w:ascii="Arial" w:hAnsi="Arial" w:cs="Arial"/>
        </w:rPr>
        <w:t xml:space="preserve">&amp; </w:t>
      </w:r>
      <w:r w:rsidR="00EF394C" w:rsidRPr="00D9790E">
        <w:rPr>
          <w:rFonts w:ascii="Arial" w:hAnsi="Arial" w:cs="Arial"/>
        </w:rPr>
        <w:t>experience</w:t>
      </w:r>
      <w:r w:rsidRPr="00D9790E">
        <w:rPr>
          <w:rFonts w:ascii="Arial" w:hAnsi="Arial" w:cs="Arial"/>
        </w:rPr>
        <w:t xml:space="preserve">, TA </w:t>
      </w:r>
      <w:r w:rsidR="00EF394C" w:rsidRPr="00D9790E">
        <w:rPr>
          <w:rFonts w:ascii="Arial" w:hAnsi="Arial" w:cs="Arial"/>
        </w:rPr>
        <w:t xml:space="preserve">process </w:t>
      </w:r>
      <w:r w:rsidRPr="00D9790E">
        <w:rPr>
          <w:rFonts w:ascii="Arial" w:hAnsi="Arial" w:cs="Arial"/>
        </w:rPr>
        <w:t xml:space="preserve">&amp; </w:t>
      </w:r>
      <w:r w:rsidR="00EF394C" w:rsidRPr="00D9790E">
        <w:rPr>
          <w:rFonts w:ascii="Arial" w:hAnsi="Arial" w:cs="Arial"/>
        </w:rPr>
        <w:t>accountability</w:t>
      </w:r>
      <w:r w:rsidRPr="00D9790E">
        <w:rPr>
          <w:rFonts w:ascii="Arial" w:hAnsi="Arial" w:cs="Arial"/>
        </w:rPr>
        <w:t xml:space="preserve">, TA </w:t>
      </w:r>
      <w:r w:rsidR="00EF394C" w:rsidRPr="00D9790E">
        <w:rPr>
          <w:rFonts w:ascii="Arial" w:hAnsi="Arial" w:cs="Arial"/>
        </w:rPr>
        <w:t>technology</w:t>
      </w:r>
      <w:r w:rsidRPr="00D9790E">
        <w:rPr>
          <w:rFonts w:ascii="Arial" w:hAnsi="Arial" w:cs="Arial"/>
        </w:rPr>
        <w:t xml:space="preserve">, and TA </w:t>
      </w:r>
      <w:r w:rsidR="00EF394C" w:rsidRPr="00D9790E">
        <w:rPr>
          <w:rFonts w:ascii="Arial" w:hAnsi="Arial" w:cs="Arial"/>
        </w:rPr>
        <w:t xml:space="preserve">competency </w:t>
      </w:r>
      <w:r w:rsidRPr="00D9790E">
        <w:rPr>
          <w:rFonts w:ascii="Arial" w:hAnsi="Arial" w:cs="Arial"/>
        </w:rPr>
        <w:t>– to elevate TA as a strategic function.</w:t>
      </w:r>
      <w:r w:rsidR="007E7F4E" w:rsidRPr="00D9790E">
        <w:rPr>
          <w:rFonts w:ascii="Arial" w:hAnsi="Arial" w:cs="Arial"/>
        </w:rPr>
        <w:t xml:space="preserve"> </w:t>
      </w:r>
    </w:p>
    <w:p w14:paraId="44026C07" w14:textId="62866941" w:rsidR="00150238" w:rsidRPr="00D9790E" w:rsidRDefault="00150238" w:rsidP="004F62F6">
      <w:pPr>
        <w:pStyle w:val="Heading3"/>
      </w:pPr>
      <w:r w:rsidRPr="00D9790E">
        <w:t xml:space="preserve">Client Challenge </w:t>
      </w:r>
    </w:p>
    <w:p w14:paraId="6F6001AA" w14:textId="1CAB9564" w:rsidR="00C35EC8" w:rsidRPr="00D9790E" w:rsidRDefault="00C35EC8" w:rsidP="00C35EC8">
      <w:pPr>
        <w:numPr>
          <w:ilvl w:val="0"/>
          <w:numId w:val="7"/>
        </w:numPr>
        <w:rPr>
          <w:rFonts w:eastAsia="Calibri" w:cs="Arial"/>
          <w:sz w:val="22"/>
          <w:szCs w:val="22"/>
        </w:rPr>
      </w:pPr>
      <w:r w:rsidRPr="00D9790E">
        <w:rPr>
          <w:rFonts w:eastAsia="Calibri" w:cs="Arial"/>
          <w:sz w:val="22"/>
          <w:szCs w:val="22"/>
        </w:rPr>
        <w:t xml:space="preserve">TA functions face many demands and competing priorities. TA needs to </w:t>
      </w:r>
      <w:r w:rsidR="00F43D59" w:rsidRPr="00D9790E">
        <w:rPr>
          <w:rFonts w:eastAsia="Calibri" w:cs="Arial"/>
          <w:sz w:val="22"/>
          <w:szCs w:val="22"/>
        </w:rPr>
        <w:t xml:space="preserve">not only </w:t>
      </w:r>
      <w:r w:rsidRPr="00D9790E">
        <w:rPr>
          <w:rFonts w:eastAsia="Calibri" w:cs="Arial"/>
          <w:sz w:val="22"/>
          <w:szCs w:val="22"/>
        </w:rPr>
        <w:t xml:space="preserve">fill roles quickly but </w:t>
      </w:r>
      <w:r w:rsidR="00F43D59">
        <w:rPr>
          <w:rFonts w:eastAsia="Calibri" w:cs="Arial"/>
          <w:sz w:val="22"/>
          <w:szCs w:val="22"/>
        </w:rPr>
        <w:t xml:space="preserve">also </w:t>
      </w:r>
      <w:r w:rsidRPr="00D9790E">
        <w:rPr>
          <w:rFonts w:eastAsia="Calibri" w:cs="Arial"/>
          <w:sz w:val="22"/>
          <w:szCs w:val="22"/>
        </w:rPr>
        <w:t xml:space="preserve">fill them with the right talent. Managing current demands while planning for future talent needs means TA is simultaneously fighting fires </w:t>
      </w:r>
      <w:r w:rsidR="007F720B">
        <w:rPr>
          <w:rFonts w:eastAsia="Calibri" w:cs="Arial"/>
          <w:sz w:val="22"/>
          <w:szCs w:val="22"/>
        </w:rPr>
        <w:t>and</w:t>
      </w:r>
      <w:r w:rsidRPr="00D9790E">
        <w:rPr>
          <w:rFonts w:eastAsia="Calibri" w:cs="Arial"/>
          <w:sz w:val="22"/>
          <w:szCs w:val="22"/>
        </w:rPr>
        <w:t xml:space="preserve"> trying to prevent new ones. </w:t>
      </w:r>
    </w:p>
    <w:p w14:paraId="270587AE" w14:textId="382E1AD9" w:rsidR="00150238" w:rsidRPr="00D9790E" w:rsidRDefault="00C35EC8" w:rsidP="00C35EC8">
      <w:pPr>
        <w:numPr>
          <w:ilvl w:val="0"/>
          <w:numId w:val="7"/>
        </w:numPr>
        <w:rPr>
          <w:rFonts w:eastAsia="Calibri" w:cs="Arial"/>
          <w:sz w:val="22"/>
          <w:szCs w:val="22"/>
        </w:rPr>
      </w:pPr>
      <w:r w:rsidRPr="00D9790E">
        <w:rPr>
          <w:rFonts w:eastAsia="Calibri" w:cs="Arial"/>
          <w:sz w:val="22"/>
          <w:szCs w:val="22"/>
        </w:rPr>
        <w:t>TA’s attempts to manage these competing pressures often focus on improving TA processes. Although process is a key element of TA, a more holistic examination is required to identify and close strategic gaps that are preventing a stronger contribution to organizational success.</w:t>
      </w:r>
    </w:p>
    <w:p w14:paraId="1A32E09A" w14:textId="50BB7A59" w:rsidR="00150238" w:rsidRPr="00D9790E" w:rsidRDefault="00150238" w:rsidP="004F62F6">
      <w:pPr>
        <w:pStyle w:val="Heading3"/>
        <w:rPr>
          <w:szCs w:val="20"/>
        </w:rPr>
      </w:pPr>
      <w:r w:rsidRPr="00D9790E">
        <w:t>Critical Insight</w:t>
      </w:r>
      <w:r w:rsidRPr="00D9790E">
        <w:rPr>
          <w:szCs w:val="20"/>
        </w:rPr>
        <w:t xml:space="preserve"> </w:t>
      </w:r>
    </w:p>
    <w:p w14:paraId="0796704F" w14:textId="6496911D" w:rsidR="00150238" w:rsidRPr="00D9790E" w:rsidRDefault="00FE7783" w:rsidP="00150238">
      <w:pPr>
        <w:numPr>
          <w:ilvl w:val="0"/>
          <w:numId w:val="8"/>
        </w:numPr>
        <w:rPr>
          <w:rFonts w:eastAsia="Calibri" w:cs="Arial"/>
          <w:sz w:val="22"/>
          <w:szCs w:val="22"/>
        </w:rPr>
      </w:pPr>
      <w:r w:rsidRPr="00D9790E">
        <w:rPr>
          <w:rFonts w:eastAsia="Calibri" w:cs="Arial"/>
          <w:sz w:val="22"/>
          <w:szCs w:val="22"/>
        </w:rPr>
        <w:t>A TA strategy has the greatest impact on organizational success when it optimizes foundational TA elements to deliver on current and future talent needs.</w:t>
      </w:r>
    </w:p>
    <w:p w14:paraId="7F49F0E7" w14:textId="2A3F4B10" w:rsidR="00DA3737" w:rsidRPr="00D9790E" w:rsidRDefault="00DA3737" w:rsidP="00DA3737">
      <w:pPr>
        <w:rPr>
          <w:rFonts w:eastAsia="Calibri" w:cs="Arial"/>
          <w:sz w:val="22"/>
          <w:szCs w:val="22"/>
        </w:rPr>
      </w:pPr>
    </w:p>
    <w:p w14:paraId="25BB99AA" w14:textId="76B0C9BB" w:rsidR="00DA3737" w:rsidRPr="00D9790E" w:rsidRDefault="00DA3737" w:rsidP="00DA3737">
      <w:pPr>
        <w:rPr>
          <w:rFonts w:eastAsia="Calibri" w:cs="Arial"/>
          <w:sz w:val="22"/>
          <w:szCs w:val="22"/>
        </w:rPr>
      </w:pPr>
    </w:p>
    <w:p w14:paraId="6D750A2C" w14:textId="7737F5EE" w:rsidR="00DA3737" w:rsidRPr="00D9790E" w:rsidRDefault="00754B9F" w:rsidP="004F62F6">
      <w:pPr>
        <w:pStyle w:val="Heading3"/>
      </w:pPr>
      <w:r w:rsidRPr="00D9790E"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9720480" wp14:editId="286E07C6">
            <wp:simplePos x="0" y="0"/>
            <wp:positionH relativeFrom="margin">
              <wp:align>center</wp:align>
            </wp:positionH>
            <wp:positionV relativeFrom="paragraph">
              <wp:posOffset>64770</wp:posOffset>
            </wp:positionV>
            <wp:extent cx="6210300" cy="3021330"/>
            <wp:effectExtent l="0" t="0" r="0" b="7620"/>
            <wp:wrapNone/>
            <wp:docPr id="1" name="Picture 1" descr="Use McLean &amp; Company's three-step process to create a TA strategy: Determine Strategic Objectives, Conduct Gap Analysis of TA Foundational Elements, and Select Strategic Proj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se McLean &amp; Company's three-step process to create a TA strategy: Determine Strategic Objectives, Conduct Gap Analysis of TA Foundational Elements, and Select Strategic Projects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10300" cy="3021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BBA430" w14:textId="77777777" w:rsidR="00DA3737" w:rsidRPr="00D9790E" w:rsidRDefault="00DA3737" w:rsidP="004F62F6">
      <w:pPr>
        <w:pStyle w:val="Heading3"/>
      </w:pPr>
    </w:p>
    <w:p w14:paraId="4B6566FB" w14:textId="3E14317F" w:rsidR="007E7F4E" w:rsidRPr="00D9790E" w:rsidRDefault="007152EF" w:rsidP="004F62F6">
      <w:pPr>
        <w:pStyle w:val="Heading3"/>
      </w:pPr>
      <w:r w:rsidRPr="00D9790E">
        <w:br w:type="page"/>
      </w:r>
      <w:r w:rsidR="007E7F4E" w:rsidRPr="00D9790E">
        <w:lastRenderedPageBreak/>
        <w:t>Get to Action</w:t>
      </w:r>
    </w:p>
    <w:p w14:paraId="0C2C858D" w14:textId="77777777" w:rsidR="007E7F4E" w:rsidRPr="00D9790E" w:rsidRDefault="007E7F4E" w:rsidP="007E7F4E">
      <w:pPr>
        <w:rPr>
          <w:rFonts w:cs="Arial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4"/>
        <w:gridCol w:w="7721"/>
      </w:tblGrid>
      <w:tr w:rsidR="00D9790E" w:rsidRPr="00D9790E" w14:paraId="487EC692" w14:textId="77777777" w:rsidTr="004F62F6">
        <w:trPr>
          <w:jc w:val="center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A7DCC" w14:textId="48034F2C" w:rsidR="007E7F4E" w:rsidRPr="00D9790E" w:rsidRDefault="007E7F4E" w:rsidP="00421D70">
            <w:pPr>
              <w:rPr>
                <w:rFonts w:cs="Arial"/>
                <w:sz w:val="22"/>
                <w:szCs w:val="22"/>
              </w:rPr>
            </w:pPr>
            <w:r w:rsidRPr="00D9790E">
              <w:rPr>
                <w:rFonts w:cs="Arial"/>
                <w:sz w:val="22"/>
                <w:szCs w:val="22"/>
              </w:rPr>
              <w:t xml:space="preserve">1. </w:t>
            </w:r>
            <w:r w:rsidR="00B413D4" w:rsidRPr="00D9790E">
              <w:rPr>
                <w:rFonts w:cs="Arial"/>
                <w:sz w:val="22"/>
                <w:szCs w:val="22"/>
              </w:rPr>
              <w:t>Determine Strategic Objectives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A8CD1" w14:textId="188C0A73" w:rsidR="00F115BD" w:rsidRPr="00D9790E" w:rsidRDefault="00F115BD" w:rsidP="00F115BD">
            <w:pPr>
              <w:numPr>
                <w:ilvl w:val="0"/>
                <w:numId w:val="10"/>
              </w:numP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D9790E"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  <w:t xml:space="preserve">Determine talent implications. </w:t>
            </w:r>
          </w:p>
          <w:p w14:paraId="5C591D7E" w14:textId="74DAE361" w:rsidR="00F115BD" w:rsidRPr="00D9790E" w:rsidRDefault="00F115BD" w:rsidP="00F115BD">
            <w:pPr>
              <w:numPr>
                <w:ilvl w:val="0"/>
                <w:numId w:val="10"/>
              </w:numP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D9790E"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  <w:t>Identif</w:t>
            </w:r>
            <w:r w:rsidR="00492CDF" w:rsidRPr="00D9790E"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  <w:t>y</w:t>
            </w:r>
            <w:r w:rsidRPr="00D9790E"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  <w:t xml:space="preserve"> and prioritize talent implications relevant to the TA function.</w:t>
            </w:r>
          </w:p>
          <w:p w14:paraId="122EECDB" w14:textId="3CAEF16D" w:rsidR="007E7F4E" w:rsidRPr="00D9790E" w:rsidRDefault="00F115BD" w:rsidP="00492CDF">
            <w:pPr>
              <w:numPr>
                <w:ilvl w:val="0"/>
                <w:numId w:val="10"/>
              </w:numPr>
              <w:spacing w:after="240"/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D9790E"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  <w:t xml:space="preserve">Determine TA strategic objectives and define metrics. </w:t>
            </w:r>
          </w:p>
          <w:p w14:paraId="2D413A71" w14:textId="77777777" w:rsidR="007E7F4E" w:rsidRPr="00D9790E" w:rsidRDefault="007E7F4E" w:rsidP="00421D70">
            <w:pP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D9790E">
              <w:rPr>
                <w:rFonts w:cs="Arial"/>
                <w:b/>
                <w:bCs/>
                <w:sz w:val="22"/>
                <w:szCs w:val="22"/>
                <w:shd w:val="clear" w:color="auto" w:fill="FFFFFF"/>
                <w:lang w:val="en-CA"/>
              </w:rPr>
              <w:t>Deliverables:</w:t>
            </w:r>
          </w:p>
          <w:p w14:paraId="526FC0F7" w14:textId="77777777" w:rsidR="00B86E17" w:rsidRPr="00D9790E" w:rsidRDefault="00B86E17" w:rsidP="00B86E17">
            <w:pPr>
              <w:numPr>
                <w:ilvl w:val="0"/>
                <w:numId w:val="11"/>
              </w:numPr>
              <w:rPr>
                <w:rFonts w:cs="Arial"/>
                <w:i/>
                <w:iCs/>
                <w:sz w:val="22"/>
                <w:szCs w:val="22"/>
                <w:shd w:val="clear" w:color="auto" w:fill="FFFFFF"/>
                <w:lang w:val="en-CA"/>
              </w:rPr>
            </w:pPr>
            <w:r w:rsidRPr="00D9790E">
              <w:rPr>
                <w:rFonts w:cs="Arial"/>
                <w:i/>
                <w:iCs/>
                <w:sz w:val="22"/>
                <w:szCs w:val="22"/>
                <w:shd w:val="clear" w:color="auto" w:fill="FFFFFF"/>
                <w:lang w:val="en-CA"/>
              </w:rPr>
              <w:t>TA Strategy Workbook</w:t>
            </w:r>
          </w:p>
          <w:p w14:paraId="453DA51E" w14:textId="77777777" w:rsidR="007E7F4E" w:rsidRPr="00D9790E" w:rsidRDefault="00B86E17" w:rsidP="00557B5D">
            <w:pPr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 w:rsidRPr="00D9790E">
              <w:rPr>
                <w:rFonts w:cs="Arial"/>
                <w:i/>
                <w:iCs/>
                <w:sz w:val="22"/>
                <w:szCs w:val="22"/>
                <w:shd w:val="clear" w:color="auto" w:fill="FFFFFF"/>
                <w:lang w:val="en-CA"/>
              </w:rPr>
              <w:t xml:space="preserve">HR Metrics Library </w:t>
            </w:r>
          </w:p>
          <w:p w14:paraId="0A1AFD94" w14:textId="167B5916" w:rsidR="00557B5D" w:rsidRPr="00D9790E" w:rsidRDefault="00557B5D" w:rsidP="00492CDF">
            <w:pPr>
              <w:numPr>
                <w:ilvl w:val="0"/>
                <w:numId w:val="11"/>
              </w:numPr>
              <w:spacing w:after="240"/>
              <w:rPr>
                <w:rFonts w:cs="Arial"/>
                <w:sz w:val="22"/>
                <w:szCs w:val="22"/>
              </w:rPr>
            </w:pPr>
            <w:r w:rsidRPr="00D9790E">
              <w:rPr>
                <w:rFonts w:cs="Arial"/>
                <w:i/>
                <w:iCs/>
                <w:sz w:val="22"/>
                <w:szCs w:val="22"/>
                <w:shd w:val="clear" w:color="auto" w:fill="FFFFFF"/>
              </w:rPr>
              <w:t>Case Studies: Create a Talent Acquisition Strategy</w:t>
            </w:r>
          </w:p>
        </w:tc>
      </w:tr>
      <w:tr w:rsidR="00D9790E" w:rsidRPr="00D9790E" w14:paraId="2C33C1A8" w14:textId="77777777" w:rsidTr="004F62F6">
        <w:trPr>
          <w:jc w:val="center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4A488" w14:textId="5F5C8BD6" w:rsidR="007E7F4E" w:rsidRPr="00D9790E" w:rsidRDefault="007E7F4E" w:rsidP="00421D70">
            <w:pPr>
              <w:rPr>
                <w:rFonts w:cs="Arial"/>
                <w:sz w:val="22"/>
                <w:szCs w:val="22"/>
              </w:rPr>
            </w:pPr>
            <w:r w:rsidRPr="00D9790E">
              <w:rPr>
                <w:rFonts w:cs="Arial"/>
                <w:sz w:val="22"/>
                <w:szCs w:val="22"/>
              </w:rPr>
              <w:t xml:space="preserve">2. </w:t>
            </w:r>
            <w:r w:rsidR="009B2994" w:rsidRPr="00D9790E">
              <w:rPr>
                <w:rFonts w:cs="Arial"/>
                <w:sz w:val="22"/>
                <w:szCs w:val="22"/>
              </w:rPr>
              <w:t>Conduct Gap Analysis of TA Foundational Elements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AC0F1" w14:textId="63732375" w:rsidR="00F115BD" w:rsidRPr="00D9790E" w:rsidRDefault="00F115BD" w:rsidP="00F115BD">
            <w:pPr>
              <w:numPr>
                <w:ilvl w:val="0"/>
                <w:numId w:val="12"/>
              </w:numPr>
              <w:rPr>
                <w:rFonts w:cs="Arial"/>
                <w:sz w:val="22"/>
                <w:szCs w:val="22"/>
                <w:lang w:val="en-CA"/>
              </w:rPr>
            </w:pPr>
            <w:r w:rsidRPr="00D9790E">
              <w:rPr>
                <w:rFonts w:cs="Arial"/>
                <w:sz w:val="22"/>
                <w:szCs w:val="22"/>
                <w:lang w:val="en-CA"/>
              </w:rPr>
              <w:t>Conduct a gap analysis of candidate awareness &amp; experience strategic practices.</w:t>
            </w:r>
          </w:p>
          <w:p w14:paraId="1358A81C" w14:textId="2BD5EC2B" w:rsidR="00F115BD" w:rsidRPr="00D9790E" w:rsidRDefault="00F115BD" w:rsidP="00F115BD">
            <w:pPr>
              <w:numPr>
                <w:ilvl w:val="0"/>
                <w:numId w:val="12"/>
              </w:numPr>
              <w:rPr>
                <w:rFonts w:cs="Arial"/>
                <w:sz w:val="22"/>
                <w:szCs w:val="22"/>
                <w:lang w:val="en-CA"/>
              </w:rPr>
            </w:pPr>
            <w:r w:rsidRPr="00D9790E">
              <w:rPr>
                <w:rFonts w:cs="Arial"/>
                <w:sz w:val="22"/>
                <w:szCs w:val="22"/>
                <w:lang w:val="en-CA"/>
              </w:rPr>
              <w:t>Conduct a gap analysis of TA process &amp; accountability strategic practices.</w:t>
            </w:r>
          </w:p>
          <w:p w14:paraId="4B35E362" w14:textId="385BDABE" w:rsidR="00F115BD" w:rsidRPr="00D9790E" w:rsidRDefault="00F115BD" w:rsidP="00F115BD">
            <w:pPr>
              <w:numPr>
                <w:ilvl w:val="0"/>
                <w:numId w:val="12"/>
              </w:numPr>
              <w:rPr>
                <w:rFonts w:cs="Arial"/>
                <w:sz w:val="22"/>
                <w:szCs w:val="22"/>
                <w:lang w:val="en-CA"/>
              </w:rPr>
            </w:pPr>
            <w:r w:rsidRPr="00D9790E">
              <w:rPr>
                <w:rFonts w:cs="Arial"/>
                <w:sz w:val="22"/>
                <w:szCs w:val="22"/>
                <w:lang w:val="en-CA"/>
              </w:rPr>
              <w:t>Conduct a gap analysis of TA technology strategic practices.</w:t>
            </w:r>
          </w:p>
          <w:p w14:paraId="6D60FCB1" w14:textId="528F36E5" w:rsidR="00F115BD" w:rsidRPr="00D9790E" w:rsidRDefault="00F115BD" w:rsidP="00F115BD">
            <w:pPr>
              <w:numPr>
                <w:ilvl w:val="0"/>
                <w:numId w:val="12"/>
              </w:numPr>
              <w:rPr>
                <w:rFonts w:cs="Arial"/>
                <w:sz w:val="22"/>
                <w:szCs w:val="22"/>
                <w:lang w:val="en-CA"/>
              </w:rPr>
            </w:pPr>
            <w:r w:rsidRPr="00D9790E">
              <w:rPr>
                <w:rFonts w:cs="Arial"/>
                <w:sz w:val="22"/>
                <w:szCs w:val="22"/>
                <w:lang w:val="en-CA"/>
              </w:rPr>
              <w:t xml:space="preserve">Conduct a gap analysis of TA team competencies. </w:t>
            </w:r>
          </w:p>
          <w:p w14:paraId="2FC460BC" w14:textId="5B39CE59" w:rsidR="007E7F4E" w:rsidRPr="00D9790E" w:rsidRDefault="00F115BD" w:rsidP="00492CDF">
            <w:pPr>
              <w:numPr>
                <w:ilvl w:val="0"/>
                <w:numId w:val="12"/>
              </w:numPr>
              <w:spacing w:after="240"/>
              <w:rPr>
                <w:rFonts w:cs="Arial"/>
                <w:sz w:val="22"/>
                <w:szCs w:val="22"/>
                <w:lang w:val="en-CA"/>
              </w:rPr>
            </w:pPr>
            <w:r w:rsidRPr="00D9790E">
              <w:rPr>
                <w:rFonts w:cs="Arial"/>
                <w:sz w:val="22"/>
                <w:szCs w:val="22"/>
                <w:lang w:val="en-CA"/>
              </w:rPr>
              <w:t xml:space="preserve">Prioritize gaps based on their size and importance. </w:t>
            </w:r>
          </w:p>
          <w:p w14:paraId="1BBFCD43" w14:textId="77777777" w:rsidR="007E7F4E" w:rsidRPr="00D9790E" w:rsidRDefault="007E7F4E" w:rsidP="00421D70">
            <w:pPr>
              <w:rPr>
                <w:rFonts w:cs="Arial"/>
                <w:sz w:val="22"/>
                <w:szCs w:val="22"/>
                <w:lang w:val="en-CA"/>
              </w:rPr>
            </w:pPr>
            <w:r w:rsidRPr="00D9790E">
              <w:rPr>
                <w:rFonts w:cs="Arial"/>
                <w:b/>
                <w:bCs/>
                <w:sz w:val="22"/>
                <w:szCs w:val="22"/>
                <w:lang w:val="en-CA"/>
              </w:rPr>
              <w:t>Deliverables:</w:t>
            </w:r>
          </w:p>
          <w:p w14:paraId="2961BD30" w14:textId="77777777" w:rsidR="001D7CDF" w:rsidRPr="00D9790E" w:rsidRDefault="001D7CDF" w:rsidP="001D7CDF">
            <w:pPr>
              <w:numPr>
                <w:ilvl w:val="0"/>
                <w:numId w:val="13"/>
              </w:numPr>
              <w:rPr>
                <w:rFonts w:cs="Arial"/>
                <w:i/>
                <w:iCs/>
                <w:sz w:val="22"/>
                <w:szCs w:val="22"/>
                <w:lang w:val="en-CA"/>
              </w:rPr>
            </w:pPr>
            <w:r w:rsidRPr="00D9790E">
              <w:rPr>
                <w:rFonts w:cs="Arial"/>
                <w:i/>
                <w:iCs/>
                <w:sz w:val="22"/>
                <w:szCs w:val="22"/>
                <w:lang w:val="en-CA"/>
              </w:rPr>
              <w:t>TA Strategy Gap Analysis Tool</w:t>
            </w:r>
          </w:p>
          <w:p w14:paraId="25A3AD4F" w14:textId="50C2E6BA" w:rsidR="001D7CDF" w:rsidRPr="00D9790E" w:rsidRDefault="00E404E9" w:rsidP="001D7CDF">
            <w:pPr>
              <w:numPr>
                <w:ilvl w:val="0"/>
                <w:numId w:val="13"/>
              </w:numPr>
              <w:rPr>
                <w:rFonts w:cs="Arial"/>
                <w:i/>
                <w:iCs/>
                <w:sz w:val="22"/>
                <w:szCs w:val="22"/>
                <w:lang w:val="en-CA"/>
              </w:rPr>
            </w:pPr>
            <w:r w:rsidRPr="00D9790E">
              <w:rPr>
                <w:rFonts w:cs="Arial"/>
                <w:i/>
                <w:iCs/>
                <w:sz w:val="22"/>
                <w:szCs w:val="22"/>
                <w:lang w:val="en-CA"/>
              </w:rPr>
              <w:t xml:space="preserve">Job Aid: </w:t>
            </w:r>
            <w:r w:rsidR="001D7CDF" w:rsidRPr="00D9790E">
              <w:rPr>
                <w:rFonts w:cs="Arial"/>
                <w:i/>
                <w:iCs/>
                <w:sz w:val="22"/>
                <w:szCs w:val="22"/>
                <w:lang w:val="en-CA"/>
              </w:rPr>
              <w:t>Diversity, Equity, and Inclusion in Talent Acquisition</w:t>
            </w:r>
          </w:p>
          <w:p w14:paraId="133C857F" w14:textId="77777777" w:rsidR="001D7CDF" w:rsidRPr="00D9790E" w:rsidRDefault="001D7CDF" w:rsidP="001D7CDF">
            <w:pPr>
              <w:numPr>
                <w:ilvl w:val="0"/>
                <w:numId w:val="13"/>
              </w:numPr>
              <w:rPr>
                <w:rFonts w:cs="Arial"/>
                <w:i/>
                <w:iCs/>
                <w:sz w:val="22"/>
                <w:szCs w:val="22"/>
                <w:lang w:val="en-CA"/>
              </w:rPr>
            </w:pPr>
            <w:r w:rsidRPr="00D9790E">
              <w:rPr>
                <w:rFonts w:cs="Arial"/>
                <w:i/>
                <w:iCs/>
                <w:sz w:val="22"/>
                <w:szCs w:val="22"/>
                <w:lang w:val="en-CA"/>
              </w:rPr>
              <w:t>Post-Hire Survey: Hiring Manager</w:t>
            </w:r>
          </w:p>
          <w:p w14:paraId="13DA0BCB" w14:textId="77777777" w:rsidR="001D7CDF" w:rsidRPr="00D9790E" w:rsidRDefault="001D7CDF" w:rsidP="001D7CDF">
            <w:pPr>
              <w:numPr>
                <w:ilvl w:val="0"/>
                <w:numId w:val="13"/>
              </w:numPr>
              <w:rPr>
                <w:rFonts w:cs="Arial"/>
                <w:i/>
                <w:iCs/>
                <w:sz w:val="22"/>
                <w:szCs w:val="22"/>
                <w:lang w:val="en-CA"/>
              </w:rPr>
            </w:pPr>
            <w:r w:rsidRPr="00D9790E">
              <w:rPr>
                <w:rFonts w:cs="Arial"/>
                <w:i/>
                <w:iCs/>
                <w:sz w:val="22"/>
                <w:szCs w:val="22"/>
                <w:lang w:val="en-CA"/>
              </w:rPr>
              <w:t xml:space="preserve">HR Competency Library </w:t>
            </w:r>
          </w:p>
          <w:p w14:paraId="28324953" w14:textId="2F031622" w:rsidR="007E7F4E" w:rsidRPr="00D9790E" w:rsidRDefault="001D7CDF" w:rsidP="00492CDF">
            <w:pPr>
              <w:numPr>
                <w:ilvl w:val="0"/>
                <w:numId w:val="13"/>
              </w:numPr>
              <w:spacing w:after="240"/>
              <w:rPr>
                <w:rFonts w:cs="Arial"/>
                <w:sz w:val="22"/>
                <w:szCs w:val="22"/>
                <w:lang w:val="en-CA"/>
              </w:rPr>
            </w:pPr>
            <w:r w:rsidRPr="00D9790E">
              <w:rPr>
                <w:rFonts w:cs="Arial"/>
                <w:i/>
                <w:iCs/>
                <w:sz w:val="22"/>
                <w:szCs w:val="22"/>
                <w:lang w:val="en-CA"/>
              </w:rPr>
              <w:t>TA Strategy Workbook</w:t>
            </w:r>
          </w:p>
        </w:tc>
      </w:tr>
      <w:tr w:rsidR="007E7F4E" w:rsidRPr="00D9790E" w14:paraId="23630E18" w14:textId="77777777" w:rsidTr="004F62F6">
        <w:trPr>
          <w:jc w:val="center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90EF7" w14:textId="09A66ECC" w:rsidR="007E7F4E" w:rsidRPr="00D9790E" w:rsidRDefault="007E7F4E" w:rsidP="00421D70">
            <w:pPr>
              <w:rPr>
                <w:rFonts w:cs="Arial"/>
                <w:sz w:val="22"/>
                <w:szCs w:val="22"/>
              </w:rPr>
            </w:pPr>
            <w:r w:rsidRPr="00D9790E">
              <w:rPr>
                <w:rFonts w:cs="Arial"/>
                <w:sz w:val="22"/>
                <w:szCs w:val="22"/>
              </w:rPr>
              <w:t xml:space="preserve">3. </w:t>
            </w:r>
            <w:r w:rsidR="00DA3737" w:rsidRPr="00D9790E">
              <w:rPr>
                <w:rFonts w:cs="Arial"/>
                <w:sz w:val="22"/>
                <w:szCs w:val="22"/>
              </w:rPr>
              <w:t>Select Strategic Projects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D31B2" w14:textId="5A1DAA64" w:rsidR="00492CDF" w:rsidRPr="00D9790E" w:rsidRDefault="00492CDF" w:rsidP="00492CDF">
            <w:pPr>
              <w:numPr>
                <w:ilvl w:val="0"/>
                <w:numId w:val="14"/>
              </w:numPr>
              <w:rPr>
                <w:rFonts w:cs="Arial"/>
                <w:sz w:val="22"/>
                <w:szCs w:val="22"/>
                <w:lang w:val="en-CA"/>
              </w:rPr>
            </w:pPr>
            <w:r w:rsidRPr="00D9790E">
              <w:rPr>
                <w:rFonts w:cs="Arial"/>
                <w:sz w:val="22"/>
                <w:szCs w:val="22"/>
                <w:lang w:val="en-CA"/>
              </w:rPr>
              <w:t xml:space="preserve">Review candidate awareness &amp; experience gaps to identify strategic projects. </w:t>
            </w:r>
          </w:p>
          <w:p w14:paraId="1B4845CB" w14:textId="15FF616E" w:rsidR="00492CDF" w:rsidRPr="00D9790E" w:rsidRDefault="00492CDF" w:rsidP="00492CDF">
            <w:pPr>
              <w:numPr>
                <w:ilvl w:val="0"/>
                <w:numId w:val="14"/>
              </w:numPr>
              <w:rPr>
                <w:rFonts w:cs="Arial"/>
                <w:sz w:val="22"/>
                <w:szCs w:val="22"/>
                <w:lang w:val="en-CA"/>
              </w:rPr>
            </w:pPr>
            <w:r w:rsidRPr="00D9790E">
              <w:rPr>
                <w:rFonts w:cs="Arial"/>
                <w:sz w:val="22"/>
                <w:szCs w:val="22"/>
                <w:lang w:val="en-CA"/>
              </w:rPr>
              <w:t xml:space="preserve">Review TA process &amp; accountability gaps to identify strategic projects. </w:t>
            </w:r>
          </w:p>
          <w:p w14:paraId="3EAA4534" w14:textId="7BB774FD" w:rsidR="00492CDF" w:rsidRPr="00D9790E" w:rsidRDefault="00492CDF" w:rsidP="00492CDF">
            <w:pPr>
              <w:numPr>
                <w:ilvl w:val="0"/>
                <w:numId w:val="14"/>
              </w:numPr>
              <w:rPr>
                <w:rFonts w:cs="Arial"/>
                <w:sz w:val="22"/>
                <w:szCs w:val="22"/>
                <w:lang w:val="en-CA"/>
              </w:rPr>
            </w:pPr>
            <w:r w:rsidRPr="00D9790E">
              <w:rPr>
                <w:rFonts w:cs="Arial"/>
                <w:sz w:val="22"/>
                <w:szCs w:val="22"/>
                <w:lang w:val="en-CA"/>
              </w:rPr>
              <w:t xml:space="preserve">Review TA technology gaps to identify strategic projects. </w:t>
            </w:r>
          </w:p>
          <w:p w14:paraId="252DA82B" w14:textId="2C8CB9B7" w:rsidR="00492CDF" w:rsidRPr="00D9790E" w:rsidRDefault="00492CDF" w:rsidP="00492CDF">
            <w:pPr>
              <w:numPr>
                <w:ilvl w:val="0"/>
                <w:numId w:val="14"/>
              </w:numPr>
              <w:rPr>
                <w:rFonts w:cs="Arial"/>
                <w:sz w:val="22"/>
                <w:szCs w:val="22"/>
                <w:lang w:val="en-CA"/>
              </w:rPr>
            </w:pPr>
            <w:r w:rsidRPr="00D9790E">
              <w:rPr>
                <w:rFonts w:cs="Arial"/>
                <w:sz w:val="22"/>
                <w:szCs w:val="22"/>
                <w:lang w:val="en-CA"/>
              </w:rPr>
              <w:t xml:space="preserve">Review TA team competency gaps to identify strategic projects. </w:t>
            </w:r>
          </w:p>
          <w:p w14:paraId="760B7BDA" w14:textId="57309133" w:rsidR="007E7F4E" w:rsidRPr="00D9790E" w:rsidRDefault="00492CDF" w:rsidP="00492CDF">
            <w:pPr>
              <w:numPr>
                <w:ilvl w:val="0"/>
                <w:numId w:val="14"/>
              </w:numPr>
              <w:spacing w:after="240"/>
              <w:rPr>
                <w:rFonts w:cs="Arial"/>
                <w:sz w:val="22"/>
                <w:szCs w:val="22"/>
                <w:lang w:val="en-CA"/>
              </w:rPr>
            </w:pPr>
            <w:r w:rsidRPr="00D9790E">
              <w:rPr>
                <w:rFonts w:cs="Arial"/>
                <w:sz w:val="22"/>
                <w:szCs w:val="22"/>
                <w:lang w:val="en-CA"/>
              </w:rPr>
              <w:t xml:space="preserve">Select strategic projects and communicate them to relevant stakeholders. </w:t>
            </w:r>
          </w:p>
          <w:p w14:paraId="319B4A5D" w14:textId="77777777" w:rsidR="007E7F4E" w:rsidRPr="00D9790E" w:rsidRDefault="007E7F4E" w:rsidP="00421D70">
            <w:pPr>
              <w:rPr>
                <w:rFonts w:cs="Arial"/>
                <w:sz w:val="22"/>
                <w:szCs w:val="22"/>
                <w:lang w:val="en-CA"/>
              </w:rPr>
            </w:pPr>
            <w:r w:rsidRPr="00D9790E">
              <w:rPr>
                <w:rFonts w:cs="Arial"/>
                <w:b/>
                <w:bCs/>
                <w:sz w:val="22"/>
                <w:szCs w:val="22"/>
                <w:lang w:val="en-CA"/>
              </w:rPr>
              <w:t>Deliverables:</w:t>
            </w:r>
          </w:p>
          <w:p w14:paraId="638177CA" w14:textId="77777777" w:rsidR="007C59D6" w:rsidRPr="00D9790E" w:rsidRDefault="007C59D6" w:rsidP="007C59D6">
            <w:pPr>
              <w:numPr>
                <w:ilvl w:val="0"/>
                <w:numId w:val="15"/>
              </w:numPr>
              <w:rPr>
                <w:rFonts w:cs="Arial"/>
                <w:i/>
                <w:iCs/>
                <w:sz w:val="22"/>
                <w:szCs w:val="22"/>
                <w:lang w:val="en-CA"/>
              </w:rPr>
            </w:pPr>
            <w:r w:rsidRPr="00D9790E">
              <w:rPr>
                <w:rFonts w:cs="Arial"/>
                <w:i/>
                <w:iCs/>
                <w:sz w:val="22"/>
                <w:szCs w:val="22"/>
                <w:lang w:val="en-CA"/>
              </w:rPr>
              <w:t>TA Strategy Workbook</w:t>
            </w:r>
          </w:p>
          <w:p w14:paraId="3BCC303B" w14:textId="78DD76D7" w:rsidR="007E7F4E" w:rsidRPr="00D9790E" w:rsidRDefault="007C59D6" w:rsidP="00492CDF">
            <w:pPr>
              <w:numPr>
                <w:ilvl w:val="0"/>
                <w:numId w:val="15"/>
              </w:numPr>
              <w:spacing w:after="240"/>
              <w:rPr>
                <w:rFonts w:cs="Arial"/>
                <w:sz w:val="22"/>
                <w:szCs w:val="22"/>
                <w:lang w:val="en-CA"/>
              </w:rPr>
            </w:pPr>
            <w:r w:rsidRPr="00D9790E">
              <w:rPr>
                <w:rFonts w:cs="Arial"/>
                <w:i/>
                <w:iCs/>
                <w:sz w:val="22"/>
                <w:szCs w:val="22"/>
                <w:lang w:val="en-CA"/>
              </w:rPr>
              <w:t>TA Strategy Presentation Template</w:t>
            </w:r>
          </w:p>
        </w:tc>
      </w:tr>
    </w:tbl>
    <w:p w14:paraId="5C4D41DE" w14:textId="502830A3" w:rsidR="007C59D6" w:rsidRPr="00D9790E" w:rsidRDefault="007C59D6" w:rsidP="00BA7D52">
      <w:pPr>
        <w:jc w:val="center"/>
        <w:rPr>
          <w:rFonts w:cs="Arial"/>
        </w:rPr>
      </w:pPr>
    </w:p>
    <w:p w14:paraId="30DECE82" w14:textId="316A13AB" w:rsidR="00492CDF" w:rsidRPr="00D9790E" w:rsidRDefault="00492CDF" w:rsidP="00BA7D52">
      <w:pPr>
        <w:jc w:val="center"/>
        <w:rPr>
          <w:rFonts w:cs="Arial"/>
        </w:rPr>
      </w:pPr>
    </w:p>
    <w:p w14:paraId="4D814B9B" w14:textId="743E53E5" w:rsidR="00405285" w:rsidRPr="00D9790E" w:rsidRDefault="00405285" w:rsidP="00BA7D52">
      <w:pPr>
        <w:jc w:val="center"/>
        <w:rPr>
          <w:rFonts w:cs="Arial"/>
        </w:rPr>
      </w:pPr>
    </w:p>
    <w:p w14:paraId="16256930" w14:textId="77777777" w:rsidR="00405285" w:rsidRPr="00D9790E" w:rsidRDefault="00405285" w:rsidP="00BA7D52">
      <w:pPr>
        <w:jc w:val="center"/>
        <w:rPr>
          <w:rFonts w:cs="Arial"/>
        </w:rPr>
      </w:pPr>
    </w:p>
    <w:p w14:paraId="57F30E4D" w14:textId="77777777" w:rsidR="007C59D6" w:rsidRPr="00D9790E" w:rsidRDefault="007C59D6" w:rsidP="00BA7D52">
      <w:pPr>
        <w:jc w:val="center"/>
        <w:rPr>
          <w:rFonts w:cs="Arial"/>
        </w:rPr>
      </w:pPr>
    </w:p>
    <w:p w14:paraId="51D5375B" w14:textId="1AE4D604" w:rsidR="00C8415D" w:rsidRPr="00D9790E" w:rsidRDefault="00C8415D" w:rsidP="00BA7D52">
      <w:pPr>
        <w:jc w:val="center"/>
        <w:rPr>
          <w:rFonts w:cs="Arial"/>
        </w:rPr>
      </w:pPr>
      <w:r w:rsidRPr="00D9790E">
        <w:rPr>
          <w:rFonts w:cs="Arial"/>
        </w:rPr>
        <w:t>__________________________________________________</w:t>
      </w:r>
    </w:p>
    <w:p w14:paraId="7BB97067" w14:textId="77777777" w:rsidR="00C8415D" w:rsidRPr="00D9790E" w:rsidRDefault="00C8415D" w:rsidP="00C8415D">
      <w:pPr>
        <w:jc w:val="center"/>
        <w:rPr>
          <w:rFonts w:cs="Arial"/>
        </w:rPr>
      </w:pPr>
    </w:p>
    <w:p w14:paraId="7750E2B4" w14:textId="190888A9" w:rsidR="00DB120E" w:rsidRPr="00D9790E" w:rsidRDefault="00DB120E" w:rsidP="00DB120E">
      <w:pPr>
        <w:jc w:val="center"/>
        <w:rPr>
          <w:rFonts w:cs="Arial"/>
        </w:rPr>
      </w:pPr>
      <w:r w:rsidRPr="00D9790E">
        <w:rPr>
          <w:rFonts w:cs="Arial"/>
          <w:szCs w:val="20"/>
        </w:rPr>
        <w:t xml:space="preserve">For acceptable use of this template, refer to McLean &amp; Company's </w:t>
      </w:r>
      <w:hyperlink r:id="rId10" w:history="1">
        <w:r w:rsidRPr="00D9790E">
          <w:rPr>
            <w:rStyle w:val="Hyperlink"/>
            <w:rFonts w:cs="Arial"/>
            <w:color w:val="auto"/>
            <w:szCs w:val="20"/>
          </w:rPr>
          <w:t>Terms of Use</w:t>
        </w:r>
      </w:hyperlink>
      <w:r w:rsidRPr="00D9790E">
        <w:rPr>
          <w:rFonts w:cs="Arial"/>
          <w:szCs w:val="20"/>
        </w:rPr>
        <w:t xml:space="preserve">. These documents are intended to supply general information only, </w:t>
      </w:r>
      <w:r w:rsidR="004F62F6" w:rsidRPr="00D9790E">
        <w:rPr>
          <w:rFonts w:cs="Arial"/>
          <w:shd w:val="clear" w:color="auto" w:fill="FFFFFF"/>
        </w:rPr>
        <w:t>not specific professional, personal, legal, or accounting advice</w:t>
      </w:r>
      <w:r w:rsidRPr="00D9790E">
        <w:rPr>
          <w:rFonts w:cs="Arial"/>
          <w:szCs w:val="20"/>
        </w:rPr>
        <w:t>, and are not intended to be used as a substitute for any kind of professional advice. Use this document either in whole or in part as a basis and guide for document creation. To customize this document with corporate marks and titles, simply replace the McLean &amp; Company information in the Header and Footer fields of this document.</w:t>
      </w:r>
    </w:p>
    <w:p w14:paraId="4711218B" w14:textId="77777777" w:rsidR="00C8415D" w:rsidRPr="00D9790E" w:rsidRDefault="00C8415D" w:rsidP="008B4684">
      <w:pPr>
        <w:tabs>
          <w:tab w:val="left" w:pos="2865"/>
        </w:tabs>
        <w:rPr>
          <w:rFonts w:cs="Arial"/>
        </w:rPr>
      </w:pPr>
    </w:p>
    <w:sectPr w:rsidR="00C8415D" w:rsidRPr="00D9790E" w:rsidSect="004F62F6">
      <w:headerReference w:type="default" r:id="rId11"/>
      <w:footerReference w:type="default" r:id="rId12"/>
      <w:pgSz w:w="12240" w:h="15840"/>
      <w:pgMar w:top="1620" w:right="1082" w:bottom="1440" w:left="95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68002" w14:textId="77777777" w:rsidR="00A0013D" w:rsidRDefault="00A0013D">
      <w:r>
        <w:separator/>
      </w:r>
    </w:p>
  </w:endnote>
  <w:endnote w:type="continuationSeparator" w:id="0">
    <w:p w14:paraId="55773EC3" w14:textId="77777777" w:rsidR="00A0013D" w:rsidRDefault="00A0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98E0E" w14:textId="77777777" w:rsidR="00775EA1" w:rsidRPr="00775EA1" w:rsidRDefault="005C7852">
    <w:pPr>
      <w:pStyle w:val="Footer"/>
      <w:jc w:val="center"/>
      <w:rPr>
        <w:color w:val="808080"/>
      </w:rPr>
    </w:pPr>
    <w:r w:rsidRPr="00775EA1">
      <w:rPr>
        <w:color w:val="808080"/>
      </w:rPr>
      <w:fldChar w:fldCharType="begin"/>
    </w:r>
    <w:r w:rsidR="00775EA1" w:rsidRPr="00775EA1">
      <w:rPr>
        <w:color w:val="808080"/>
      </w:rPr>
      <w:instrText xml:space="preserve"> PAGE   \* MERGEFORMAT </w:instrText>
    </w:r>
    <w:r w:rsidRPr="00775EA1">
      <w:rPr>
        <w:color w:val="808080"/>
      </w:rPr>
      <w:fldChar w:fldCharType="separate"/>
    </w:r>
    <w:r w:rsidR="004F62F6">
      <w:rPr>
        <w:noProof/>
        <w:color w:val="808080"/>
      </w:rPr>
      <w:t>2</w:t>
    </w:r>
    <w:r w:rsidRPr="00775EA1">
      <w:rPr>
        <w:color w:val="808080"/>
      </w:rPr>
      <w:fldChar w:fldCharType="end"/>
    </w:r>
  </w:p>
  <w:p w14:paraId="1E5B761F" w14:textId="0DDAD9F6" w:rsidR="00775EA1" w:rsidRPr="004F62F6" w:rsidRDefault="004F62F6">
    <w:pPr>
      <w:pStyle w:val="Footer"/>
      <w:jc w:val="center"/>
      <w:rPr>
        <w:color w:val="808080"/>
        <w:szCs w:val="16"/>
      </w:rPr>
    </w:pPr>
    <w:r>
      <w:rPr>
        <w:color w:val="808080"/>
        <w:szCs w:val="16"/>
      </w:rPr>
      <w:t xml:space="preserve">   </w:t>
    </w:r>
    <w:r w:rsidR="00775EA1" w:rsidRPr="004F62F6">
      <w:rPr>
        <w:color w:val="808080"/>
        <w:szCs w:val="16"/>
      </w:rPr>
      <w:t>McLean &amp; Company</w:t>
    </w:r>
  </w:p>
  <w:p w14:paraId="35CF3E3B" w14:textId="77777777" w:rsidR="00775EA1" w:rsidRPr="004F62F6" w:rsidRDefault="00775EA1">
    <w:pPr>
      <w:pStyle w:val="Foo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C768C" w14:textId="77777777" w:rsidR="00A0013D" w:rsidRDefault="00A0013D">
      <w:r>
        <w:separator/>
      </w:r>
    </w:p>
  </w:footnote>
  <w:footnote w:type="continuationSeparator" w:id="0">
    <w:p w14:paraId="3F029856" w14:textId="77777777" w:rsidR="00A0013D" w:rsidRDefault="00A00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AEA68" w14:textId="1D07B202" w:rsidR="00701BB0" w:rsidRPr="004D32EB" w:rsidRDefault="002344C3">
    <w:pPr>
      <w:pStyle w:val="Header"/>
      <w:rPr>
        <w:rFonts w:ascii="Arial Black" w:hAnsi="Arial Black"/>
        <w:color w:val="FFFFFF"/>
      </w:rPr>
    </w:pPr>
    <w:r>
      <w:rPr>
        <w:rFonts w:ascii="Arial Black" w:hAnsi="Arial Black"/>
        <w:noProof/>
        <w:color w:val="FFFFFF"/>
        <w:lang w:val="en-CA" w:eastAsia="en-CA"/>
      </w:rPr>
      <w:drawing>
        <wp:anchor distT="0" distB="0" distL="114300" distR="114300" simplePos="0" relativeHeight="251657728" behindDoc="1" locked="0" layoutInCell="1" allowOverlap="1" wp14:anchorId="09934992" wp14:editId="63BB21AC">
          <wp:simplePos x="0" y="0"/>
          <wp:positionH relativeFrom="column">
            <wp:posOffset>-638175</wp:posOffset>
          </wp:positionH>
          <wp:positionV relativeFrom="paragraph">
            <wp:posOffset>-381000</wp:posOffset>
          </wp:positionV>
          <wp:extent cx="9554845" cy="904875"/>
          <wp:effectExtent l="0" t="0" r="0" b="7620"/>
          <wp:wrapNone/>
          <wp:docPr id="4" name="Picture 1" descr="word-job_desc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-job_desc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484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2BF3"/>
    <w:multiLevelType w:val="hybridMultilevel"/>
    <w:tmpl w:val="A57E4D00"/>
    <w:lvl w:ilvl="0" w:tplc="562AE9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3344D3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9F48E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7BA25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66807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6CC2D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2E66D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3C6DB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2C460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50B33B4"/>
    <w:multiLevelType w:val="hybridMultilevel"/>
    <w:tmpl w:val="77322812"/>
    <w:lvl w:ilvl="0" w:tplc="88EC3D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EADA6E22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6E147926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3D926AA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587865F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20E316E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A08C817E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641E3C0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46A0D998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90541FF"/>
    <w:multiLevelType w:val="hybridMultilevel"/>
    <w:tmpl w:val="25A6A18E"/>
    <w:lvl w:ilvl="0" w:tplc="61A2E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8C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EAA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A4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943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3E0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ACF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340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80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FB604F"/>
    <w:multiLevelType w:val="hybridMultilevel"/>
    <w:tmpl w:val="1B7CDD8C"/>
    <w:lvl w:ilvl="0" w:tplc="BDE48A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E14C4E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824DC5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D8A89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30E18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93028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3985F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F3632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EBEB8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1B57041D"/>
    <w:multiLevelType w:val="hybridMultilevel"/>
    <w:tmpl w:val="197642B8"/>
    <w:lvl w:ilvl="0" w:tplc="21D41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2E3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40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8AE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C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84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E7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1A7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6E3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570AA4"/>
    <w:multiLevelType w:val="hybridMultilevel"/>
    <w:tmpl w:val="E2205FFE"/>
    <w:lvl w:ilvl="0" w:tplc="E724D8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23298F0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D0BAFC9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C178BCC0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A3C661D4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87D8FF12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031C9AC8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5666F10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7058457C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37A2FEA"/>
    <w:multiLevelType w:val="hybridMultilevel"/>
    <w:tmpl w:val="BBAE8DC0"/>
    <w:lvl w:ilvl="0" w:tplc="92A694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0CEBF9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C428F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9764A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8A48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428BE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7A8FA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D6268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1380A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28DA5CD3"/>
    <w:multiLevelType w:val="hybridMultilevel"/>
    <w:tmpl w:val="BF2A55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34F5C"/>
    <w:multiLevelType w:val="hybridMultilevel"/>
    <w:tmpl w:val="99CEF260"/>
    <w:lvl w:ilvl="0" w:tplc="F1C6DD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3FA6B5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27243A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0C77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FAFA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43A00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426E2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A691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9C43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39E23FF8"/>
    <w:multiLevelType w:val="hybridMultilevel"/>
    <w:tmpl w:val="A858CD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E4FE6"/>
    <w:multiLevelType w:val="hybridMultilevel"/>
    <w:tmpl w:val="E2AA5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8532E"/>
    <w:multiLevelType w:val="hybridMultilevel"/>
    <w:tmpl w:val="BE9852D4"/>
    <w:lvl w:ilvl="0" w:tplc="1AF6D0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D300578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332537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6FD48C1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2196C11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EC6C78CA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3960685C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E96EB9F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A11C28A0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5269553A"/>
    <w:multiLevelType w:val="hybridMultilevel"/>
    <w:tmpl w:val="9C42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86806"/>
    <w:multiLevelType w:val="hybridMultilevel"/>
    <w:tmpl w:val="D72C394A"/>
    <w:lvl w:ilvl="0" w:tplc="2C8C5A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7AADE78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79E2F26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49CC915E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4DF0430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C3FE9712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22F8D80E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4B3C90A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FCB2FF3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59474016"/>
    <w:multiLevelType w:val="hybridMultilevel"/>
    <w:tmpl w:val="7C403F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F1B5E"/>
    <w:multiLevelType w:val="hybridMultilevel"/>
    <w:tmpl w:val="3CD402B0"/>
    <w:lvl w:ilvl="0" w:tplc="98D6D6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72E2A5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84C0D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EA8B0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038CC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222E3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89895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954C1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FB29B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69F70953"/>
    <w:multiLevelType w:val="hybridMultilevel"/>
    <w:tmpl w:val="AD86A422"/>
    <w:lvl w:ilvl="0" w:tplc="14A8AF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AB6622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73E45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2AC9F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B1E90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81CF3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E5428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A6A68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1C5A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6F2365F5"/>
    <w:multiLevelType w:val="hybridMultilevel"/>
    <w:tmpl w:val="83F0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52D6E"/>
    <w:multiLevelType w:val="hybridMultilevel"/>
    <w:tmpl w:val="36C23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940E2"/>
    <w:multiLevelType w:val="hybridMultilevel"/>
    <w:tmpl w:val="B974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A23C50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E78C2"/>
    <w:multiLevelType w:val="hybridMultilevel"/>
    <w:tmpl w:val="1FA2F3B6"/>
    <w:lvl w:ilvl="0" w:tplc="33FA75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158CA66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4D72A5AA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DCCC01E8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6332D74A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E7E83F40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F9C0D77A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127EE258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C624DF5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7B873CF9"/>
    <w:multiLevelType w:val="hybridMultilevel"/>
    <w:tmpl w:val="94C0182C"/>
    <w:lvl w:ilvl="0" w:tplc="9E862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A8C1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60E3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EA52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6B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DE6B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A242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009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1C8E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2"/>
  </w:num>
  <w:num w:numId="5">
    <w:abstractNumId w:val="4"/>
  </w:num>
  <w:num w:numId="6">
    <w:abstractNumId w:val="21"/>
  </w:num>
  <w:num w:numId="7">
    <w:abstractNumId w:val="12"/>
  </w:num>
  <w:num w:numId="8">
    <w:abstractNumId w:val="19"/>
  </w:num>
  <w:num w:numId="9">
    <w:abstractNumId w:val="17"/>
  </w:num>
  <w:num w:numId="10">
    <w:abstractNumId w:val="1"/>
  </w:num>
  <w:num w:numId="11">
    <w:abstractNumId w:val="3"/>
  </w:num>
  <w:num w:numId="12">
    <w:abstractNumId w:val="13"/>
  </w:num>
  <w:num w:numId="13">
    <w:abstractNumId w:val="16"/>
  </w:num>
  <w:num w:numId="14">
    <w:abstractNumId w:val="11"/>
  </w:num>
  <w:num w:numId="15">
    <w:abstractNumId w:val="0"/>
  </w:num>
  <w:num w:numId="16">
    <w:abstractNumId w:val="5"/>
  </w:num>
  <w:num w:numId="17">
    <w:abstractNumId w:val="8"/>
  </w:num>
  <w:num w:numId="18">
    <w:abstractNumId w:val="20"/>
  </w:num>
  <w:num w:numId="19">
    <w:abstractNumId w:val="6"/>
  </w:num>
  <w:num w:numId="20">
    <w:abstractNumId w:val="14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035"/>
    <w:rsid w:val="00026ACB"/>
    <w:rsid w:val="00033B26"/>
    <w:rsid w:val="00077963"/>
    <w:rsid w:val="000D63E7"/>
    <w:rsid w:val="00134035"/>
    <w:rsid w:val="00150238"/>
    <w:rsid w:val="00186D07"/>
    <w:rsid w:val="001D7CDF"/>
    <w:rsid w:val="001F431F"/>
    <w:rsid w:val="0020649A"/>
    <w:rsid w:val="00226C73"/>
    <w:rsid w:val="00234116"/>
    <w:rsid w:val="002344C3"/>
    <w:rsid w:val="00253948"/>
    <w:rsid w:val="002C17B1"/>
    <w:rsid w:val="002C6A38"/>
    <w:rsid w:val="002D034A"/>
    <w:rsid w:val="003018D3"/>
    <w:rsid w:val="00343D15"/>
    <w:rsid w:val="00364660"/>
    <w:rsid w:val="00405285"/>
    <w:rsid w:val="004069F4"/>
    <w:rsid w:val="00455B7B"/>
    <w:rsid w:val="00486B78"/>
    <w:rsid w:val="00492CDF"/>
    <w:rsid w:val="00492F5D"/>
    <w:rsid w:val="004D32EB"/>
    <w:rsid w:val="004F57CC"/>
    <w:rsid w:val="004F62F6"/>
    <w:rsid w:val="00514649"/>
    <w:rsid w:val="005328F4"/>
    <w:rsid w:val="00557B5D"/>
    <w:rsid w:val="005C7852"/>
    <w:rsid w:val="0061655C"/>
    <w:rsid w:val="00650698"/>
    <w:rsid w:val="006B0CA8"/>
    <w:rsid w:val="00701BB0"/>
    <w:rsid w:val="007152EF"/>
    <w:rsid w:val="00715498"/>
    <w:rsid w:val="0072781F"/>
    <w:rsid w:val="00754B9F"/>
    <w:rsid w:val="00775EA1"/>
    <w:rsid w:val="007C59D6"/>
    <w:rsid w:val="007E7F4E"/>
    <w:rsid w:val="007F720B"/>
    <w:rsid w:val="00801B44"/>
    <w:rsid w:val="00803CE4"/>
    <w:rsid w:val="008141D7"/>
    <w:rsid w:val="0081572D"/>
    <w:rsid w:val="00830085"/>
    <w:rsid w:val="008B4684"/>
    <w:rsid w:val="008B6398"/>
    <w:rsid w:val="008C5E54"/>
    <w:rsid w:val="008F502A"/>
    <w:rsid w:val="008F5841"/>
    <w:rsid w:val="00923F3F"/>
    <w:rsid w:val="0096410E"/>
    <w:rsid w:val="009B2994"/>
    <w:rsid w:val="009D3540"/>
    <w:rsid w:val="00A0013D"/>
    <w:rsid w:val="00A1286D"/>
    <w:rsid w:val="00A21788"/>
    <w:rsid w:val="00A761A0"/>
    <w:rsid w:val="00AB23C4"/>
    <w:rsid w:val="00AC45C3"/>
    <w:rsid w:val="00B011ED"/>
    <w:rsid w:val="00B413D4"/>
    <w:rsid w:val="00B86E17"/>
    <w:rsid w:val="00BA7D52"/>
    <w:rsid w:val="00C35EC8"/>
    <w:rsid w:val="00C477D9"/>
    <w:rsid w:val="00C47B87"/>
    <w:rsid w:val="00C50C04"/>
    <w:rsid w:val="00C8415D"/>
    <w:rsid w:val="00CA08B6"/>
    <w:rsid w:val="00CA0EDC"/>
    <w:rsid w:val="00CB15B0"/>
    <w:rsid w:val="00D0516C"/>
    <w:rsid w:val="00D206DA"/>
    <w:rsid w:val="00D314A2"/>
    <w:rsid w:val="00D92959"/>
    <w:rsid w:val="00D97422"/>
    <w:rsid w:val="00D9790E"/>
    <w:rsid w:val="00DA3737"/>
    <w:rsid w:val="00DB120E"/>
    <w:rsid w:val="00DF35DF"/>
    <w:rsid w:val="00E404E9"/>
    <w:rsid w:val="00E4603D"/>
    <w:rsid w:val="00EA2830"/>
    <w:rsid w:val="00EA4B34"/>
    <w:rsid w:val="00EE76A0"/>
    <w:rsid w:val="00EF394C"/>
    <w:rsid w:val="00F115BD"/>
    <w:rsid w:val="00F43D59"/>
    <w:rsid w:val="00F86E04"/>
    <w:rsid w:val="00F87893"/>
    <w:rsid w:val="00F9338F"/>
    <w:rsid w:val="00FA3C12"/>
    <w:rsid w:val="00FC0A49"/>
    <w:rsid w:val="00FE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CC90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684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B468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8415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B468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502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32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D32E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B4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75EA1"/>
    <w:rPr>
      <w:rFonts w:ascii="Arial" w:hAnsi="Arial"/>
      <w:szCs w:val="24"/>
    </w:rPr>
  </w:style>
  <w:style w:type="character" w:styleId="Hyperlink">
    <w:name w:val="Hyperlink"/>
    <w:uiPriority w:val="99"/>
    <w:unhideWhenUsed/>
    <w:rsid w:val="00DB120E"/>
    <w:rPr>
      <w:color w:val="0563C1"/>
      <w:u w:val="single"/>
    </w:rPr>
  </w:style>
  <w:style w:type="paragraph" w:styleId="NoSpacing">
    <w:name w:val="No Spacing"/>
    <w:uiPriority w:val="1"/>
    <w:qFormat/>
    <w:rsid w:val="00150238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50238"/>
    <w:pPr>
      <w:spacing w:before="240" w:after="60" w:line="276" w:lineRule="auto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0238"/>
    <w:rPr>
      <w:rFonts w:ascii="Cambria" w:hAnsi="Cambria"/>
      <w:b/>
      <w:bCs/>
      <w:kern w:val="28"/>
      <w:sz w:val="28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5023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152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52E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C477D9"/>
    <w:pPr>
      <w:ind w:left="720"/>
      <w:contextualSpacing/>
    </w:pPr>
  </w:style>
  <w:style w:type="character" w:styleId="CommentReference">
    <w:name w:val="annotation reference"/>
    <w:basedOn w:val="DefaultParagraphFont"/>
    <w:rsid w:val="007E7F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4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E7F4E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7F4E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412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76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090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811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13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85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204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409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5506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030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832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482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30266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957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744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554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207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325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368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039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303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74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100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87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3645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694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70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655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840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972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2212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69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686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96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028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313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80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46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546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938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227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614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811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478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04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683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39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87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88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0457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hr.mcleanco.com/term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D2EFC79-6B8B-4339-8FD8-84EBCFCFF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1875E7-2B6F-4F2B-ABDE-3153DADC4EA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2021-01-15T13:21:00Z</dcterms:created>
  <dcterms:modified xsi:type="dcterms:W3CDTF">2021-01-15T13:21:00Z</dcterms:modified>
</cp:coreProperties>
</file>